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3F724" w14:textId="0C1CAB03" w:rsidR="00AE437A" w:rsidRPr="00843A18" w:rsidRDefault="00307207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강의개요 </w:t>
      </w:r>
    </w:p>
    <w:p w14:paraId="05E685E0" w14:textId="46A7D532" w:rsidR="00B216A1" w:rsidRPr="00843A18" w:rsidRDefault="00B216A1">
      <w:pPr>
        <w:pStyle w:val="Default"/>
        <w:spacing w:line="276" w:lineRule="auto"/>
        <w:ind w:firstLineChars="100" w:firstLine="320"/>
        <w:rPr>
          <w:rFonts w:asciiTheme="majorHAnsi" w:eastAsiaTheme="majorHAnsi" w:hAnsiTheme="majorHAnsi"/>
          <w:sz w:val="32"/>
          <w:szCs w:val="32"/>
        </w:rPr>
      </w:pPr>
    </w:p>
    <w:p w14:paraId="77AA9699" w14:textId="58D10B9F" w:rsidR="00B216A1" w:rsidRPr="00A8082A" w:rsidRDefault="00036792">
      <w:pPr>
        <w:pStyle w:val="Default"/>
        <w:spacing w:line="276" w:lineRule="auto"/>
        <w:jc w:val="center"/>
        <w:rPr>
          <w:rFonts w:ascii="Tahoma" w:eastAsiaTheme="majorHAnsi" w:hAnsi="Tahoma" w:cs="Tahoma"/>
          <w:sz w:val="22"/>
          <w:szCs w:val="23"/>
        </w:rPr>
      </w:pPr>
      <w:r w:rsidRPr="00A8082A">
        <w:rPr>
          <w:rFonts w:ascii="Tahoma" w:eastAsiaTheme="majorHAnsi" w:hAnsi="Tahoma" w:cs="Tahoma"/>
          <w:sz w:val="36"/>
          <w:szCs w:val="36"/>
        </w:rPr>
        <w:t>Best practice for the single-cell data analysis: from basics to advanced topics</w:t>
      </w:r>
    </w:p>
    <w:p w14:paraId="66605C92" w14:textId="77777777" w:rsidR="00B216A1" w:rsidRPr="00843A18" w:rsidRDefault="00B216A1">
      <w:pPr>
        <w:pStyle w:val="Default"/>
        <w:spacing w:line="276" w:lineRule="auto"/>
        <w:rPr>
          <w:rFonts w:asciiTheme="majorHAnsi" w:eastAsiaTheme="majorHAnsi" w:hAnsiTheme="majorHAnsi"/>
          <w:sz w:val="23"/>
          <w:szCs w:val="23"/>
        </w:rPr>
      </w:pPr>
    </w:p>
    <w:p w14:paraId="4D3D9AE3" w14:textId="69B34CF3" w:rsidR="00B216A1" w:rsidRPr="00A8082A" w:rsidRDefault="00224008" w:rsidP="00A8082A">
      <w:pPr>
        <w:pStyle w:val="Default"/>
        <w:spacing w:line="276" w:lineRule="auto"/>
        <w:ind w:firstLineChars="100" w:firstLine="200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우리 몸을 세포 수준에서 이해하고자 하는 노력은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single-cell genomics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라는 새로운 기술의 발달로 이어졌으며,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최근 쏟아지고 있는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single-cell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데이터는 생명정보학의 새로운 중요한 재료가 되고 있다.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본 강의에서는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single-cell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데이터 분석을 위한 </w:t>
      </w:r>
      <w:r w:rsidRPr="00A8082A">
        <w:rPr>
          <w:rFonts w:asciiTheme="minorEastAsia" w:eastAsiaTheme="minorEastAsia" w:hAnsiTheme="minorEastAsia"/>
          <w:sz w:val="20"/>
          <w:szCs w:val="20"/>
        </w:rPr>
        <w:t>best practice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를 정의해 보고자 한다.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초심자를 위해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single-cell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데이터의 특성과 기본 분석법,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자주 발생하는 오류들과 이를 피하기 위한 방법들을 설명하고,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공공 데이터의 활용법,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머신 러닝을 활용한 손쉬운 세포 타입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annotation,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딥러닝 기반의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batch correction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방법 등도 간단한 실습을 통해 소개한다.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Python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과 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google colab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을 활용한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실습 진행을 포함한다.</w:t>
      </w:r>
    </w:p>
    <w:p w14:paraId="4F6BC55D" w14:textId="4815AA52" w:rsidR="00B216A1" w:rsidRPr="00A8082A" w:rsidRDefault="00B216A1">
      <w:pPr>
        <w:pStyle w:val="Default"/>
        <w:spacing w:line="276" w:lineRule="auto"/>
        <w:jc w:val="both"/>
        <w:rPr>
          <w:rFonts w:asciiTheme="minorEastAsia" w:eastAsiaTheme="minorEastAsia" w:hAnsiTheme="minorEastAsia" w:cs="굴림"/>
          <w:bCs/>
          <w:sz w:val="20"/>
          <w:szCs w:val="20"/>
        </w:rPr>
      </w:pPr>
    </w:p>
    <w:p w14:paraId="747F64E3" w14:textId="1E633EF2" w:rsidR="00B216A1" w:rsidRPr="00A8082A" w:rsidRDefault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/>
          <w:sz w:val="20"/>
          <w:szCs w:val="20"/>
        </w:rPr>
        <w:t>Single-cell data structure (multi-dimension data analysis, data sparsity)</w:t>
      </w:r>
    </w:p>
    <w:p w14:paraId="0D2C5D32" w14:textId="4EDF25BD" w:rsidR="00224008" w:rsidRPr="00A8082A" w:rsidRDefault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/>
          <w:sz w:val="20"/>
          <w:szCs w:val="20"/>
        </w:rPr>
        <w:t>Basic analysis pipeline</w:t>
      </w:r>
    </w:p>
    <w:p w14:paraId="564E4C14" w14:textId="3C330AA6" w:rsidR="00B216A1" w:rsidRPr="00A8082A" w:rsidRDefault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/>
          <w:sz w:val="20"/>
          <w:szCs w:val="20"/>
        </w:rPr>
        <w:t>Common erros in single-cell data analysis</w:t>
      </w:r>
    </w:p>
    <w:p w14:paraId="14C97F99" w14:textId="086832D0" w:rsidR="00B216A1" w:rsidRPr="00A8082A" w:rsidRDefault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>B</w:t>
      </w:r>
      <w:r w:rsidRPr="00A8082A">
        <w:rPr>
          <w:rFonts w:asciiTheme="minorEastAsia" w:eastAsiaTheme="minorEastAsia" w:hAnsiTheme="minorEastAsia"/>
          <w:sz w:val="20"/>
          <w:szCs w:val="20"/>
        </w:rPr>
        <w:t>atch correction and assessing the integration</w:t>
      </w:r>
    </w:p>
    <w:p w14:paraId="1130CC61" w14:textId="53A49E36" w:rsidR="00B216A1" w:rsidRPr="00A8082A" w:rsidRDefault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>P</w:t>
      </w:r>
      <w:r w:rsidRPr="00A8082A">
        <w:rPr>
          <w:rFonts w:asciiTheme="minorEastAsia" w:eastAsiaTheme="minorEastAsia" w:hAnsiTheme="minorEastAsia"/>
          <w:sz w:val="20"/>
          <w:szCs w:val="20"/>
        </w:rPr>
        <w:t>ublic data analysis</w:t>
      </w:r>
    </w:p>
    <w:p w14:paraId="2D72B0C5" w14:textId="6CF62AE8" w:rsidR="00224008" w:rsidRPr="00A8082A" w:rsidRDefault="00224008" w:rsidP="00224008">
      <w:pPr>
        <w:pStyle w:val="Default"/>
        <w:numPr>
          <w:ilvl w:val="0"/>
          <w:numId w:val="1"/>
        </w:numPr>
        <w:spacing w:line="276" w:lineRule="auto"/>
        <w:jc w:val="both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>A</w:t>
      </w:r>
      <w:r w:rsidRPr="00A8082A">
        <w:rPr>
          <w:rFonts w:asciiTheme="minorEastAsia" w:eastAsiaTheme="minorEastAsia" w:hAnsiTheme="minorEastAsia"/>
          <w:sz w:val="20"/>
          <w:szCs w:val="20"/>
        </w:rPr>
        <w:t>utomatic cell type annotation</w:t>
      </w:r>
    </w:p>
    <w:p w14:paraId="181D56C5" w14:textId="77777777" w:rsidR="00B216A1" w:rsidRPr="00A8082A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379A7806" w14:textId="77777777" w:rsidR="00224008" w:rsidRPr="00A8082A" w:rsidRDefault="00224008" w:rsidP="00224008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/>
          <w:sz w:val="20"/>
          <w:szCs w:val="20"/>
        </w:rPr>
        <w:t>*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참고 웹사이트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: </w:t>
      </w:r>
    </w:p>
    <w:p w14:paraId="34B74620" w14:textId="77777777" w:rsidR="00224008" w:rsidRPr="00A8082A" w:rsidRDefault="00CA3ACF" w:rsidP="00224008">
      <w:pPr>
        <w:pStyle w:val="Default"/>
        <w:spacing w:line="276" w:lineRule="auto"/>
        <w:ind w:firstLineChars="50" w:firstLine="100"/>
        <w:rPr>
          <w:rFonts w:asciiTheme="minorEastAsia" w:eastAsiaTheme="minorEastAsia" w:hAnsiTheme="minorEastAsia"/>
          <w:sz w:val="20"/>
          <w:szCs w:val="20"/>
        </w:rPr>
      </w:pPr>
      <w:hyperlink r:id="rId7" w:history="1">
        <w:r w:rsidR="00224008" w:rsidRPr="00A8082A">
          <w:rPr>
            <w:rStyle w:val="a6"/>
            <w:rFonts w:asciiTheme="minorEastAsia" w:eastAsiaTheme="minorEastAsia" w:hAnsiTheme="minorEastAsia"/>
            <w:sz w:val="20"/>
            <w:szCs w:val="20"/>
          </w:rPr>
          <w:t>https://scanpy.readthedocs.io/en/stable/index.html</w:t>
        </w:r>
      </w:hyperlink>
    </w:p>
    <w:p w14:paraId="1923C9E8" w14:textId="77777777" w:rsidR="00B216A1" w:rsidRPr="00A8082A" w:rsidRDefault="00B216A1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</w:p>
    <w:p w14:paraId="3AC22D3F" w14:textId="190A953E" w:rsidR="00843A18" w:rsidRPr="00A8082A" w:rsidRDefault="008F7CF6">
      <w:pPr>
        <w:pStyle w:val="Default"/>
        <w:spacing w:line="276" w:lineRule="auto"/>
        <w:rPr>
          <w:rFonts w:asciiTheme="minorEastAsia" w:eastAsiaTheme="minorEastAsia" w:hAnsiTheme="minorEastAsia"/>
          <w:sz w:val="20"/>
          <w:szCs w:val="20"/>
        </w:rPr>
      </w:pPr>
      <w:r w:rsidRPr="00A8082A">
        <w:rPr>
          <w:rFonts w:asciiTheme="minorEastAsia" w:eastAsiaTheme="minorEastAsia" w:hAnsiTheme="minorEastAsia"/>
          <w:sz w:val="20"/>
          <w:szCs w:val="20"/>
        </w:rPr>
        <w:t>*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교육생준비물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: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노트북</w:t>
      </w:r>
    </w:p>
    <w:p w14:paraId="5C868D35" w14:textId="2E8AC675" w:rsidR="00843A18" w:rsidRPr="00A8082A" w:rsidRDefault="00843A18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>* 강의 난이도: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초급</w:t>
      </w:r>
      <w:r w:rsidR="00224008" w:rsidRPr="00A8082A">
        <w:rPr>
          <w:rFonts w:asciiTheme="minorEastAsia" w:eastAsiaTheme="minorEastAsia" w:hAnsiTheme="minorEastAsia"/>
          <w:sz w:val="20"/>
          <w:szCs w:val="20"/>
        </w:rPr>
        <w:t>-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중급</w:t>
      </w:r>
    </w:p>
    <w:p w14:paraId="7439FDD2" w14:textId="7449F5BB" w:rsidR="00B216A1" w:rsidRPr="00A8082A" w:rsidRDefault="008F7CF6">
      <w:pPr>
        <w:pStyle w:val="Default"/>
        <w:spacing w:line="276" w:lineRule="auto"/>
        <w:rPr>
          <w:rFonts w:asciiTheme="minorEastAsia" w:eastAsiaTheme="minorEastAsia" w:hAnsiTheme="minorEastAsia" w:cs="굴림"/>
          <w:b/>
          <w:bCs/>
          <w:color w:val="0000FF"/>
          <w:sz w:val="20"/>
          <w:szCs w:val="20"/>
        </w:rPr>
      </w:pPr>
      <w:r w:rsidRPr="00A8082A">
        <w:rPr>
          <w:rFonts w:asciiTheme="minorEastAsia" w:eastAsiaTheme="minorEastAsia" w:hAnsiTheme="minorEastAsia" w:hint="eastAsia"/>
          <w:sz w:val="20"/>
          <w:szCs w:val="20"/>
        </w:rPr>
        <w:t>* 강의:</w:t>
      </w:r>
      <w:r w:rsidRPr="00A8082A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224008"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박종은 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 xml:space="preserve">교수 </w:t>
      </w:r>
      <w:r w:rsidRPr="00A8082A">
        <w:rPr>
          <w:rFonts w:asciiTheme="minorEastAsia" w:eastAsiaTheme="minorEastAsia" w:hAnsiTheme="minorEastAsia"/>
          <w:sz w:val="20"/>
          <w:szCs w:val="20"/>
        </w:rPr>
        <w:t>(</w:t>
      </w:r>
      <w:r w:rsidR="00224008" w:rsidRPr="00A8082A">
        <w:rPr>
          <w:rFonts w:asciiTheme="minorEastAsia" w:eastAsiaTheme="minorEastAsia" w:hAnsiTheme="minorEastAsia" w:hint="eastAsia"/>
          <w:sz w:val="20"/>
          <w:szCs w:val="20"/>
        </w:rPr>
        <w:t>한국과학기술원 의과학대학원</w:t>
      </w:r>
      <w:r w:rsidRPr="00A8082A">
        <w:rPr>
          <w:rFonts w:asciiTheme="minorEastAsia" w:eastAsiaTheme="minorEastAsia" w:hAnsiTheme="minorEastAsia" w:hint="eastAsia"/>
          <w:sz w:val="20"/>
          <w:szCs w:val="20"/>
        </w:rPr>
        <w:t>)</w:t>
      </w:r>
    </w:p>
    <w:p w14:paraId="6FCB4F82" w14:textId="4129C5BC" w:rsidR="00A8082A" w:rsidRDefault="00A8082A">
      <w:pPr>
        <w:widowControl/>
        <w:wordWrap/>
        <w:autoSpaceDE/>
        <w:autoSpaceDN/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</w:pPr>
      <w:r>
        <w:rPr>
          <w:rFonts w:asciiTheme="majorHAnsi" w:eastAsiaTheme="majorHAnsi" w:hAnsiTheme="majorHAnsi" w:cs="굴림"/>
          <w:b/>
          <w:bCs/>
          <w:color w:val="000000"/>
          <w:kern w:val="0"/>
          <w:sz w:val="24"/>
          <w:szCs w:val="24"/>
        </w:rPr>
        <w:br w:type="page"/>
      </w:r>
    </w:p>
    <w:p w14:paraId="18079040" w14:textId="0B5368CE" w:rsidR="00224008" w:rsidRDefault="00224008" w:rsidP="00A8082A">
      <w:pPr>
        <w:wordWrap/>
        <w:spacing w:after="0" w:line="240" w:lineRule="auto"/>
        <w:jc w:val="center"/>
        <w:textAlignment w:val="baseline"/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</w:pPr>
      <w:r>
        <w:rPr>
          <w:rFonts w:ascii="Tahoma" w:eastAsia="나눔바른고딕" w:hAnsi="Tahoma" w:cs="Tahoma"/>
          <w:b/>
          <w:bCs/>
          <w:color w:val="000000"/>
          <w:kern w:val="0"/>
          <w:sz w:val="32"/>
          <w:szCs w:val="32"/>
        </w:rPr>
        <w:lastRenderedPageBreak/>
        <w:t>Curriculum Vitae</w:t>
      </w:r>
    </w:p>
    <w:p w14:paraId="7535AC55" w14:textId="77777777" w:rsidR="00224008" w:rsidRDefault="00224008" w:rsidP="00224008">
      <w:pPr>
        <w:spacing w:after="0"/>
        <w:rPr>
          <w:rFonts w:ascii="Tahoma" w:eastAsia="나눔바른고딕" w:hAnsi="Tahoma" w:cs="Tahoma"/>
          <w:b/>
          <w:sz w:val="22"/>
        </w:rPr>
      </w:pPr>
    </w:p>
    <w:p w14:paraId="272124DA" w14:textId="77777777" w:rsidR="00224008" w:rsidRDefault="00224008" w:rsidP="00224008">
      <w:pPr>
        <w:spacing w:after="0"/>
        <w:rPr>
          <w:rFonts w:ascii="Tahoma" w:eastAsiaTheme="minorHAnsi" w:hAnsi="Tahoma" w:cs="Tahoma"/>
          <w:b/>
          <w:sz w:val="22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BEDB377" wp14:editId="590AB492">
                <wp:simplePos x="0" y="0"/>
                <wp:positionH relativeFrom="column">
                  <wp:posOffset>-95250</wp:posOffset>
                </wp:positionH>
                <wp:positionV relativeFrom="paragraph">
                  <wp:posOffset>205740</wp:posOffset>
                </wp:positionV>
                <wp:extent cx="1495425" cy="1733550"/>
                <wp:effectExtent l="9525" t="9525" r="9525" b="9525"/>
                <wp:wrapNone/>
                <wp:docPr id="1035" name="shape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9542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17238" w14:textId="77777777" w:rsidR="00224008" w:rsidRDefault="00224008" w:rsidP="00224008">
                            <w:pPr>
                              <w:rPr>
                                <w:rFonts w:ascii="Tahoma" w:eastAsiaTheme="minorHAnsi" w:hAnsi="Tahoma" w:cs="Tahom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ahoma" w:eastAsiaTheme="minorHAnsi" w:hAnsi="Tahoma" w:cs="Tahoma"/>
                                <w:b/>
                                <w:noProof/>
                                <w:sz w:val="22"/>
                              </w:rPr>
                              <w:drawing>
                                <wp:inline distT="0" distB="0" distL="0" distR="0" wp14:anchorId="2987AE07" wp14:editId="552C1AA8">
                                  <wp:extent cx="1209555" cy="1627139"/>
                                  <wp:effectExtent l="0" t="0" r="0" b="0"/>
                                  <wp:docPr id="1" name="그림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그림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1072" cy="164263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BEDB377" id="shape1035" o:spid="_x0000_s1026" style="position:absolute;left:0;text-align:left;margin-left:-7.5pt;margin-top:16.2pt;width:117.75pt;height:136.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" fillcolor="white [3201]" strokeweight="1.5pt">
                <v:path arrowok="t"/>
                <v:textbox>
                  <w:txbxContent>
                    <w:p w14:paraId="43017238" w14:textId="77777777" w:rsidR="00224008" w:rsidRDefault="00224008" w:rsidP="00224008">
                      <w:pPr>
                        <w:rPr>
                          <w:rFonts w:ascii="Tahoma" w:eastAsiaTheme="minorHAnsi" w:hAnsi="Tahoma" w:cs="Tahoma"/>
                          <w:b/>
                          <w:sz w:val="22"/>
                        </w:rPr>
                      </w:pPr>
                      <w:r>
                        <w:rPr>
                          <w:rFonts w:ascii="Tahoma" w:eastAsiaTheme="minorHAnsi" w:hAnsi="Tahoma" w:cs="Tahoma"/>
                          <w:b/>
                          <w:noProof/>
                          <w:sz w:val="22"/>
                        </w:rPr>
                        <w:drawing>
                          <wp:inline distT="0" distB="0" distL="0" distR="0" wp14:anchorId="2987AE07" wp14:editId="552C1AA8">
                            <wp:extent cx="1209555" cy="1627139"/>
                            <wp:effectExtent l="0" t="0" r="0" b="0"/>
                            <wp:docPr id="1" name="그림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그림 1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1072" cy="164263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ahoma" w:eastAsiaTheme="minorHAnsi" w:hAnsi="Tahoma" w:cs="Tahoma"/>
          <w:b/>
          <w:sz w:val="22"/>
        </w:rPr>
        <w:t>Speaker Name: Jong-Eun Park, Ph.D.</w:t>
      </w:r>
    </w:p>
    <w:p w14:paraId="3D8F8F4B" w14:textId="77777777" w:rsidR="00224008" w:rsidRDefault="00224008" w:rsidP="00224008">
      <w:pPr>
        <w:spacing w:after="0"/>
        <w:ind w:left="1600" w:firstLine="800"/>
        <w:rPr>
          <w:rFonts w:eastAsiaTheme="minorHAnsi"/>
          <w:noProof/>
          <w:sz w:val="24"/>
          <w:szCs w:val="24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>Personal Info</w:t>
      </w:r>
    </w:p>
    <w:p w14:paraId="477910C1" w14:textId="77777777" w:rsidR="00224008" w:rsidRDefault="00224008" w:rsidP="0022400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Name</w:t>
      </w:r>
      <w:r>
        <w:rPr>
          <w:rFonts w:eastAsiaTheme="minorHAnsi"/>
          <w:szCs w:val="20"/>
        </w:rPr>
        <w:tab/>
      </w:r>
      <w:r>
        <w:rPr>
          <w:rFonts w:eastAsiaTheme="minorHAnsi"/>
          <w:szCs w:val="20"/>
        </w:rPr>
        <w:tab/>
        <w:t xml:space="preserve"> </w:t>
      </w:r>
      <w:r>
        <w:rPr>
          <w:rFonts w:eastAsiaTheme="minorHAnsi" w:cs="Times New Roman"/>
          <w:szCs w:val="20"/>
        </w:rPr>
        <w:t xml:space="preserve"> Jong-Eun Park</w:t>
      </w:r>
    </w:p>
    <w:p w14:paraId="0A849428" w14:textId="77777777" w:rsidR="00224008" w:rsidRDefault="00224008" w:rsidP="00224008">
      <w:pPr>
        <w:pStyle w:val="DataField11pt-Single"/>
        <w:ind w:left="1600" w:firstLine="800"/>
        <w:rPr>
          <w:rFonts w:asciiTheme="minorHAnsi" w:eastAsiaTheme="minorHAnsi" w:hAnsiTheme="minorHAnsi"/>
          <w:sz w:val="20"/>
          <w:lang w:eastAsia="ko-KR"/>
        </w:rPr>
      </w:pPr>
      <w:r>
        <w:rPr>
          <w:rFonts w:asciiTheme="minorHAnsi" w:eastAsiaTheme="minorHAnsi" w:hAnsiTheme="minorHAnsi"/>
          <w:sz w:val="20"/>
        </w:rPr>
        <w:t>Title</w:t>
      </w:r>
      <w:r>
        <w:rPr>
          <w:rFonts w:asciiTheme="minorHAnsi" w:eastAsiaTheme="minorHAnsi" w:hAnsiTheme="minorHAnsi"/>
          <w:sz w:val="20"/>
          <w:lang w:eastAsia="ko-KR"/>
        </w:rPr>
        <w:tab/>
        <w:t xml:space="preserve">          Assistant Professor</w:t>
      </w:r>
    </w:p>
    <w:p w14:paraId="1B34866B" w14:textId="77777777" w:rsidR="00224008" w:rsidRDefault="00224008" w:rsidP="00224008">
      <w:pPr>
        <w:spacing w:after="0" w:line="240" w:lineRule="auto"/>
        <w:ind w:left="1600" w:firstLine="800"/>
        <w:rPr>
          <w:rFonts w:eastAsiaTheme="minorHAnsi"/>
          <w:szCs w:val="20"/>
        </w:rPr>
      </w:pPr>
      <w:r>
        <w:rPr>
          <w:rFonts w:eastAsiaTheme="minorHAnsi"/>
          <w:szCs w:val="20"/>
        </w:rPr>
        <w:t>Affiliation         KAIST, GSMSE</w:t>
      </w:r>
    </w:p>
    <w:p w14:paraId="49158013" w14:textId="77777777" w:rsidR="00224008" w:rsidRDefault="00224008" w:rsidP="00224008">
      <w:pPr>
        <w:spacing w:after="0" w:line="240" w:lineRule="auto"/>
        <w:ind w:left="1600" w:firstLine="800"/>
        <w:rPr>
          <w:rFonts w:eastAsiaTheme="minorHAnsi"/>
          <w:b/>
          <w:szCs w:val="20"/>
        </w:rPr>
      </w:pPr>
      <w:r>
        <w:rPr>
          <w:rFonts w:eastAsiaTheme="minorHAnsi"/>
          <w:szCs w:val="20"/>
        </w:rPr>
        <w:t>▶</w:t>
      </w:r>
      <w:r>
        <w:rPr>
          <w:rFonts w:eastAsiaTheme="minorHAnsi"/>
          <w:b/>
          <w:szCs w:val="20"/>
        </w:rPr>
        <w:t xml:space="preserve">Contact Information </w:t>
      </w:r>
    </w:p>
    <w:p w14:paraId="58DF4480" w14:textId="77777777" w:rsidR="00224008" w:rsidRDefault="00224008" w:rsidP="00224008">
      <w:pPr>
        <w:spacing w:after="0" w:line="240" w:lineRule="auto"/>
        <w:ind w:left="1600" w:firstLine="800"/>
        <w:rPr>
          <w:rFonts w:eastAsiaTheme="minorHAnsi"/>
          <w:sz w:val="18"/>
          <w:szCs w:val="18"/>
        </w:rPr>
      </w:pPr>
      <w:r w:rsidRPr="00FE57A0">
        <w:rPr>
          <w:rFonts w:eastAsiaTheme="minorHAnsi"/>
          <w:sz w:val="18"/>
          <w:szCs w:val="18"/>
        </w:rPr>
        <w:t>Graduate School of Medical Science and Engineering, KAIST, Daejeon, 34141</w:t>
      </w:r>
    </w:p>
    <w:p w14:paraId="0853B60C" w14:textId="77777777" w:rsidR="00224008" w:rsidRDefault="00224008" w:rsidP="00224008">
      <w:pPr>
        <w:spacing w:after="0"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Email jp24@kaist.ac.kr</w:t>
      </w:r>
    </w:p>
    <w:p w14:paraId="0E7BB225" w14:textId="77777777" w:rsidR="00224008" w:rsidRDefault="00224008" w:rsidP="00224008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sz w:val="18"/>
          <w:szCs w:val="18"/>
        </w:rPr>
        <w:t>Phone Number 010-4528-8702</w:t>
      </w:r>
    </w:p>
    <w:p w14:paraId="3A6DE95E" w14:textId="77777777" w:rsidR="00224008" w:rsidRDefault="00224008" w:rsidP="00224008">
      <w:pPr>
        <w:spacing w:line="240" w:lineRule="auto"/>
        <w:ind w:left="1600" w:firstLine="800"/>
        <w:rPr>
          <w:rFonts w:eastAsiaTheme="minorHAnsi"/>
          <w:sz w:val="18"/>
          <w:szCs w:val="18"/>
        </w:rPr>
      </w:pPr>
      <w:r>
        <w:rPr>
          <w:rFonts w:eastAsia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ABE24CD" wp14:editId="3B968532">
                <wp:simplePos x="0" y="0"/>
                <wp:positionH relativeFrom="column">
                  <wp:posOffset>-163830</wp:posOffset>
                </wp:positionH>
                <wp:positionV relativeFrom="paragraph">
                  <wp:posOffset>138620</wp:posOffset>
                </wp:positionV>
                <wp:extent cx="6022975" cy="0"/>
                <wp:effectExtent l="7937" t="7937" r="7937" b="7937"/>
                <wp:wrapNone/>
                <wp:docPr id="1033" name="shape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297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40B2DD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hape1033" o:spid="_x0000_s1026" type="#_x0000_t32" style="position:absolute;left:0;text-align:left;margin-left:-12.9pt;margin-top:10.9pt;width:474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" strokeweight="1.25pt"/>
            </w:pict>
          </mc:Fallback>
        </mc:AlternateContent>
      </w:r>
    </w:p>
    <w:p w14:paraId="259E9045" w14:textId="77777777" w:rsidR="00224008" w:rsidRPr="00A8082A" w:rsidRDefault="00224008" w:rsidP="00A8082A">
      <w:pPr>
        <w:spacing w:after="0" w:line="240" w:lineRule="auto"/>
        <w:rPr>
          <w:rFonts w:asciiTheme="minorEastAsia" w:hAnsiTheme="minorEastAsia"/>
          <w:szCs w:val="20"/>
        </w:rPr>
      </w:pPr>
      <w:r w:rsidRPr="00A8082A">
        <w:rPr>
          <w:rFonts w:asciiTheme="minorEastAsia" w:hAnsiTheme="minorEastAsia"/>
          <w:b/>
          <w:szCs w:val="20"/>
        </w:rPr>
        <w:t xml:space="preserve">Research interest : </w:t>
      </w:r>
      <w:r w:rsidRPr="00A8082A">
        <w:rPr>
          <w:rFonts w:asciiTheme="minorEastAsia" w:hAnsiTheme="minorEastAsia"/>
          <w:szCs w:val="20"/>
        </w:rPr>
        <w:t>Single-cell genomics, Immunology, Cancer</w:t>
      </w:r>
    </w:p>
    <w:p w14:paraId="69C54168" w14:textId="6C41B5E8" w:rsidR="00224008" w:rsidRPr="00A8082A" w:rsidRDefault="00224008" w:rsidP="00A8082A">
      <w:pPr>
        <w:spacing w:after="0" w:line="240" w:lineRule="auto"/>
        <w:rPr>
          <w:rFonts w:asciiTheme="minorEastAsia" w:hAnsiTheme="minorEastAsia" w:hint="eastAsia"/>
          <w:b/>
          <w:szCs w:val="20"/>
        </w:rPr>
      </w:pPr>
    </w:p>
    <w:p w14:paraId="4F6B0FC4" w14:textId="77777777" w:rsidR="00224008" w:rsidRPr="00A8082A" w:rsidRDefault="00224008" w:rsidP="00A8082A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A8082A">
        <w:rPr>
          <w:rFonts w:asciiTheme="minorEastAsia" w:hAnsiTheme="minorEastAsia"/>
          <w:b/>
          <w:szCs w:val="20"/>
        </w:rPr>
        <w:t>Educational Experience</w:t>
      </w:r>
    </w:p>
    <w:p w14:paraId="5948BC00" w14:textId="77777777" w:rsidR="00224008" w:rsidRPr="00A8082A" w:rsidRDefault="00224008" w:rsidP="00A8082A">
      <w:pPr>
        <w:pStyle w:val="DataField10pt"/>
        <w:jc w:val="both"/>
        <w:rPr>
          <w:rFonts w:asciiTheme="minorEastAsia" w:hAnsiTheme="minorEastAsia"/>
          <w:lang w:eastAsia="ko-KR"/>
        </w:rPr>
      </w:pPr>
      <w:r w:rsidRPr="00A8082A">
        <w:rPr>
          <w:rFonts w:asciiTheme="minorEastAsia" w:hAnsiTheme="minorEastAsia"/>
          <w:lang w:eastAsia="ko-KR"/>
        </w:rPr>
        <w:t>2009</w:t>
      </w:r>
      <w:r w:rsidRPr="00A8082A">
        <w:rPr>
          <w:rFonts w:asciiTheme="minorEastAsia" w:hAnsiTheme="minorEastAsia"/>
          <w:color w:val="0070C0"/>
        </w:rPr>
        <w:t xml:space="preserve"> </w:t>
      </w:r>
      <w:r w:rsidRPr="00A8082A">
        <w:rPr>
          <w:rFonts w:asciiTheme="minorEastAsia" w:hAnsiTheme="minorEastAsia"/>
          <w:b/>
          <w:color w:val="0070C0"/>
        </w:rPr>
        <w:tab/>
      </w:r>
      <w:r w:rsidRPr="00A8082A">
        <w:rPr>
          <w:rFonts w:asciiTheme="minorEastAsia" w:hAnsiTheme="minorEastAsia"/>
          <w:b/>
          <w:color w:val="0070C0"/>
        </w:rPr>
        <w:tab/>
      </w:r>
      <w:r w:rsidRPr="00A8082A">
        <w:rPr>
          <w:rFonts w:asciiTheme="minorEastAsia" w:hAnsiTheme="minorEastAsia"/>
        </w:rPr>
        <w:t>B.S.</w:t>
      </w:r>
      <w:r w:rsidRPr="00A8082A">
        <w:rPr>
          <w:rFonts w:asciiTheme="minorEastAsia" w:hAnsiTheme="minorEastAsia"/>
          <w:lang w:eastAsia="ko-KR"/>
        </w:rPr>
        <w:t xml:space="preserve"> in Seoul National University, Biological Science, South Korea</w:t>
      </w:r>
    </w:p>
    <w:p w14:paraId="5661381F" w14:textId="77777777" w:rsidR="00224008" w:rsidRPr="00A8082A" w:rsidRDefault="00224008" w:rsidP="00A8082A">
      <w:pPr>
        <w:pStyle w:val="DataField10pt"/>
        <w:jc w:val="both"/>
        <w:rPr>
          <w:rFonts w:asciiTheme="minorEastAsia" w:hAnsiTheme="minorEastAsia"/>
          <w:lang w:eastAsia="ko-KR"/>
        </w:rPr>
      </w:pPr>
      <w:r w:rsidRPr="00A8082A">
        <w:rPr>
          <w:rFonts w:asciiTheme="minorEastAsia" w:hAnsiTheme="minorEastAsia"/>
          <w:lang w:eastAsia="ko-KR"/>
        </w:rPr>
        <w:t>2015</w:t>
      </w:r>
      <w:r w:rsidRPr="00A8082A">
        <w:rPr>
          <w:rFonts w:asciiTheme="minorEastAsia" w:hAnsiTheme="minorEastAsia"/>
        </w:rPr>
        <w:t xml:space="preserve"> </w:t>
      </w:r>
      <w:r w:rsidRPr="00A8082A">
        <w:rPr>
          <w:rFonts w:asciiTheme="minorEastAsia" w:hAnsiTheme="minorEastAsia"/>
          <w:lang w:eastAsia="ko-KR"/>
        </w:rPr>
        <w:tab/>
      </w:r>
      <w:r w:rsidRPr="00A8082A">
        <w:rPr>
          <w:rFonts w:asciiTheme="minorEastAsia" w:hAnsiTheme="minorEastAsia"/>
          <w:lang w:eastAsia="ko-KR"/>
        </w:rPr>
        <w:tab/>
      </w:r>
      <w:r w:rsidRPr="00A8082A">
        <w:rPr>
          <w:rFonts w:asciiTheme="minorEastAsia" w:hAnsiTheme="minorEastAsia"/>
        </w:rPr>
        <w:t>Ph.D.</w:t>
      </w:r>
      <w:r w:rsidRPr="00A8082A">
        <w:rPr>
          <w:rFonts w:asciiTheme="minorEastAsia" w:hAnsiTheme="minorEastAsia"/>
          <w:lang w:eastAsia="ko-KR"/>
        </w:rPr>
        <w:t xml:space="preserve"> in Seoul National University, Biological Science, South Korea</w:t>
      </w:r>
    </w:p>
    <w:p w14:paraId="6AB2DB38" w14:textId="77777777" w:rsidR="00224008" w:rsidRPr="00A8082A" w:rsidRDefault="00224008" w:rsidP="00A8082A">
      <w:pPr>
        <w:spacing w:after="0" w:line="240" w:lineRule="auto"/>
        <w:rPr>
          <w:rFonts w:asciiTheme="minorEastAsia" w:hAnsiTheme="minorEastAsia"/>
          <w:b/>
          <w:szCs w:val="20"/>
        </w:rPr>
      </w:pPr>
    </w:p>
    <w:p w14:paraId="6A90EB01" w14:textId="77777777" w:rsidR="00224008" w:rsidRPr="00A8082A" w:rsidRDefault="00224008" w:rsidP="00A8082A">
      <w:pPr>
        <w:spacing w:after="0" w:line="240" w:lineRule="auto"/>
        <w:rPr>
          <w:rFonts w:asciiTheme="minorEastAsia" w:hAnsiTheme="minorEastAsia"/>
          <w:b/>
          <w:szCs w:val="20"/>
        </w:rPr>
      </w:pPr>
      <w:r w:rsidRPr="00A8082A">
        <w:rPr>
          <w:rFonts w:asciiTheme="minorEastAsia" w:hAnsiTheme="minorEastAsia"/>
          <w:b/>
          <w:szCs w:val="20"/>
        </w:rPr>
        <w:t>Professional Experience</w:t>
      </w:r>
    </w:p>
    <w:p w14:paraId="54946246" w14:textId="77777777" w:rsidR="00224008" w:rsidRPr="00A8082A" w:rsidRDefault="00224008" w:rsidP="00A8082A">
      <w:pPr>
        <w:pStyle w:val="DataField10pt"/>
        <w:rPr>
          <w:rFonts w:asciiTheme="minorEastAsia" w:hAnsiTheme="minorEastAsia"/>
          <w:lang w:eastAsia="ko-KR"/>
        </w:rPr>
      </w:pPr>
      <w:r w:rsidRPr="00A8082A">
        <w:rPr>
          <w:rFonts w:asciiTheme="minorEastAsia" w:hAnsiTheme="minorEastAsia"/>
          <w:lang w:eastAsia="ko-KR"/>
        </w:rPr>
        <w:t>2015-2017</w:t>
      </w:r>
      <w:r w:rsidRPr="00A8082A">
        <w:rPr>
          <w:rFonts w:asciiTheme="minorEastAsia" w:hAnsiTheme="minorEastAsia"/>
          <w:lang w:eastAsia="ko-KR"/>
        </w:rPr>
        <w:tab/>
        <w:t>Post-doc research fellow, IBS center for RNA biology, Seoul National University</w:t>
      </w:r>
    </w:p>
    <w:p w14:paraId="5B8AFA42" w14:textId="77777777" w:rsidR="00224008" w:rsidRPr="00A8082A" w:rsidRDefault="00224008" w:rsidP="00A8082A">
      <w:pPr>
        <w:pStyle w:val="DataField10pt"/>
        <w:rPr>
          <w:rFonts w:asciiTheme="minorEastAsia" w:hAnsiTheme="minorEastAsia"/>
          <w:lang w:eastAsia="ko-KR"/>
        </w:rPr>
      </w:pPr>
      <w:r w:rsidRPr="00A8082A">
        <w:rPr>
          <w:rFonts w:asciiTheme="minorEastAsia" w:hAnsiTheme="minorEastAsia"/>
          <w:lang w:eastAsia="ko-KR"/>
        </w:rPr>
        <w:t>2017-2020</w:t>
      </w:r>
      <w:r w:rsidRPr="00A8082A">
        <w:rPr>
          <w:rFonts w:asciiTheme="minorEastAsia" w:hAnsiTheme="minorEastAsia"/>
          <w:lang w:eastAsia="ko-KR"/>
        </w:rPr>
        <w:tab/>
        <w:t>Post-doc research fellow, Wellcome Sanger Institute, United Kingdom</w:t>
      </w:r>
    </w:p>
    <w:p w14:paraId="56888FEE" w14:textId="0DDA4324" w:rsidR="00224008" w:rsidRPr="00A8082A" w:rsidRDefault="00224008" w:rsidP="00A8082A">
      <w:pPr>
        <w:pStyle w:val="DataField10pt"/>
        <w:rPr>
          <w:rFonts w:asciiTheme="minorEastAsia" w:hAnsiTheme="minorEastAsia" w:hint="eastAsia"/>
          <w:lang w:eastAsia="ko-KR"/>
        </w:rPr>
      </w:pPr>
      <w:r w:rsidRPr="00A8082A">
        <w:rPr>
          <w:rFonts w:asciiTheme="minorEastAsia" w:hAnsiTheme="minorEastAsia"/>
          <w:lang w:eastAsia="ko-KR"/>
        </w:rPr>
        <w:t>2020-</w:t>
      </w:r>
      <w:r w:rsidRPr="00A8082A">
        <w:rPr>
          <w:rFonts w:asciiTheme="minorEastAsia" w:hAnsiTheme="minorEastAsia"/>
          <w:lang w:eastAsia="ko-KR"/>
        </w:rPr>
        <w:tab/>
      </w:r>
      <w:r w:rsidRPr="00A8082A">
        <w:rPr>
          <w:rFonts w:asciiTheme="minorEastAsia" w:hAnsiTheme="minorEastAsia"/>
          <w:lang w:eastAsia="ko-KR"/>
        </w:rPr>
        <w:tab/>
        <w:t>Assistant Professor, KAIST</w:t>
      </w:r>
    </w:p>
    <w:p w14:paraId="5006725B" w14:textId="77777777" w:rsidR="00224008" w:rsidRPr="00A8082A" w:rsidRDefault="00224008" w:rsidP="00A8082A">
      <w:pPr>
        <w:spacing w:before="240" w:after="0" w:line="240" w:lineRule="auto"/>
        <w:rPr>
          <w:rFonts w:asciiTheme="minorEastAsia" w:hAnsiTheme="minorEastAsia"/>
          <w:b/>
          <w:szCs w:val="20"/>
        </w:rPr>
      </w:pPr>
      <w:r w:rsidRPr="00A8082A">
        <w:rPr>
          <w:rFonts w:asciiTheme="minorEastAsia" w:hAnsiTheme="minorEastAsia"/>
          <w:b/>
          <w:szCs w:val="20"/>
        </w:rPr>
        <w:t>Selected Publications (5 maximum)</w:t>
      </w:r>
    </w:p>
    <w:p w14:paraId="225DDF2F" w14:textId="77777777" w:rsidR="00224008" w:rsidRPr="00A8082A" w:rsidRDefault="00224008" w:rsidP="00A8082A">
      <w:pPr>
        <w:widowControl/>
        <w:numPr>
          <w:ilvl w:val="0"/>
          <w:numId w:val="3"/>
        </w:numPr>
        <w:wordWrap/>
        <w:autoSpaceDE/>
        <w:autoSpaceDN/>
        <w:spacing w:after="0" w:line="240" w:lineRule="auto"/>
        <w:ind w:rightChars="-594" w:right="-1188"/>
        <w:jc w:val="left"/>
        <w:rPr>
          <w:rFonts w:asciiTheme="minorEastAsia" w:hAnsiTheme="minorEastAsia" w:cs="Times New Roman"/>
          <w:kern w:val="0"/>
          <w:szCs w:val="20"/>
          <w:lang w:val="en-GB"/>
        </w:rPr>
      </w:pP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Park, J.-E.*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, … , Taghon, T., Haniffa, M., Teichmann, S.A.,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2020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, A cell atlas of human thymic development defines T cell repertoire formation.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 xml:space="preserve">Science 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>367, eaay3224</w:t>
      </w:r>
    </w:p>
    <w:p w14:paraId="0647C48D" w14:textId="77777777" w:rsidR="00224008" w:rsidRPr="00A8082A" w:rsidRDefault="00224008" w:rsidP="00A8082A">
      <w:pPr>
        <w:widowControl/>
        <w:numPr>
          <w:ilvl w:val="0"/>
          <w:numId w:val="3"/>
        </w:numPr>
        <w:wordWrap/>
        <w:autoSpaceDE/>
        <w:autoSpaceDN/>
        <w:spacing w:after="0" w:line="240" w:lineRule="auto"/>
        <w:ind w:rightChars="-594" w:right="-1188"/>
        <w:jc w:val="left"/>
        <w:rPr>
          <w:rFonts w:asciiTheme="minorEastAsia" w:hAnsiTheme="minorEastAsia" w:cs="Times New Roman"/>
          <w:kern w:val="0"/>
          <w:szCs w:val="20"/>
          <w:lang w:val="en-GB"/>
        </w:rPr>
      </w:pPr>
      <w:r w:rsidRPr="00A8082A">
        <w:rPr>
          <w:rFonts w:asciiTheme="minorEastAsia" w:hAnsiTheme="minorEastAsia" w:cs="Times New Roman"/>
          <w:kern w:val="0"/>
          <w:szCs w:val="20"/>
          <w:lang w:val="en-GB"/>
        </w:rPr>
        <w:t>Pola</w:t>
      </w:r>
      <w:r w:rsidRPr="00A8082A">
        <w:rPr>
          <w:rFonts w:ascii="Calibri" w:hAnsi="Calibri" w:cs="Calibri"/>
          <w:kern w:val="0"/>
          <w:szCs w:val="20"/>
          <w:lang w:val="en-GB"/>
        </w:rPr>
        <w:t>ń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ski, K.*, Young, M.D.*, Miao, Z., Meyer, K.B., </w:t>
      </w:r>
      <w:r w:rsidRPr="00A8082A">
        <w:rPr>
          <w:rFonts w:asciiTheme="minorEastAsia" w:hAnsiTheme="minorEastAsia" w:cs="Times New Roman"/>
          <w:kern w:val="0"/>
          <w:szCs w:val="20"/>
          <w:u w:val="single"/>
          <w:lang w:val="en-GB"/>
        </w:rPr>
        <w:t>Teichmann, S.A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. and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u w:val="single"/>
          <w:lang w:val="en-GB"/>
        </w:rPr>
        <w:t>Park, J.-E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.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,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2019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. BBKNN: Fast Batch Alignment of Single Cell Transcriptomes.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Bioinformatics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>. 36, 964-965</w:t>
      </w:r>
    </w:p>
    <w:p w14:paraId="0A4C0ABA" w14:textId="77777777" w:rsidR="00224008" w:rsidRPr="00A8082A" w:rsidRDefault="00224008" w:rsidP="00A8082A">
      <w:pPr>
        <w:widowControl/>
        <w:numPr>
          <w:ilvl w:val="0"/>
          <w:numId w:val="3"/>
        </w:numPr>
        <w:wordWrap/>
        <w:autoSpaceDE/>
        <w:autoSpaceDN/>
        <w:spacing w:after="0" w:line="240" w:lineRule="auto"/>
        <w:ind w:rightChars="-594" w:right="-1188"/>
        <w:jc w:val="left"/>
        <w:rPr>
          <w:rFonts w:asciiTheme="minorEastAsia" w:hAnsiTheme="minorEastAsia" w:cs="Times New Roman"/>
          <w:kern w:val="0"/>
          <w:szCs w:val="20"/>
          <w:lang w:val="en-GB"/>
        </w:rPr>
      </w:pP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Son, A.*,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Park, J.-E.*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, Kim, V.N.,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2018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. PARN and TOE1 Constitute a 3’ End Maturation Module for Nuclear Non-coding RNAs.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Cell Reports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>. 23, 888–898.</w:t>
      </w:r>
    </w:p>
    <w:p w14:paraId="22442936" w14:textId="77777777" w:rsidR="00224008" w:rsidRPr="00A8082A" w:rsidRDefault="00224008" w:rsidP="00A8082A">
      <w:pPr>
        <w:widowControl/>
        <w:numPr>
          <w:ilvl w:val="0"/>
          <w:numId w:val="3"/>
        </w:numPr>
        <w:wordWrap/>
        <w:autoSpaceDE/>
        <w:autoSpaceDN/>
        <w:spacing w:after="0" w:line="240" w:lineRule="auto"/>
        <w:ind w:rightChars="-594" w:right="-1188"/>
        <w:jc w:val="left"/>
        <w:rPr>
          <w:rFonts w:asciiTheme="minorEastAsia" w:hAnsiTheme="minorEastAsia" w:cs="Times New Roman"/>
          <w:kern w:val="0"/>
          <w:szCs w:val="20"/>
          <w:lang w:val="en-GB"/>
        </w:rPr>
      </w:pP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Park, J.-E.*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, Yi, H.*, Kim, Y.*, Chang, H., Kim, V.N.,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2016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. Regulation of Poly(A) Tail and Translation during the Somatic Cell Cycle. </w:t>
      </w:r>
      <w:r w:rsidRPr="00A8082A">
        <w:rPr>
          <w:rFonts w:asciiTheme="minorEastAsia" w:hAnsiTheme="minorEastAsia" w:cs="Times New Roman"/>
          <w:b/>
          <w:bCs/>
          <w:kern w:val="0"/>
          <w:szCs w:val="20"/>
          <w:lang w:val="en-GB"/>
        </w:rPr>
        <w:t>Molecular Cell.</w:t>
      </w:r>
      <w:r w:rsidRPr="00A8082A">
        <w:rPr>
          <w:rFonts w:asciiTheme="minorEastAsia" w:hAnsiTheme="minorEastAsia" w:cs="Times New Roman"/>
          <w:kern w:val="0"/>
          <w:szCs w:val="20"/>
          <w:lang w:val="en-GB"/>
        </w:rPr>
        <w:t xml:space="preserve"> 62, 462–471.</w:t>
      </w:r>
    </w:p>
    <w:p w14:paraId="2673BC70" w14:textId="4110CB63" w:rsidR="00AE437A" w:rsidRPr="00843A18" w:rsidRDefault="00AE437A">
      <w:pPr>
        <w:widowControl/>
        <w:wordWrap/>
        <w:autoSpaceDE/>
        <w:autoSpaceDN/>
        <w:rPr>
          <w:rFonts w:asciiTheme="majorHAnsi" w:eastAsiaTheme="majorHAnsi" w:hAnsiTheme="majorHAnsi" w:cs="Times New Roman"/>
          <w:szCs w:val="20"/>
        </w:rPr>
      </w:pPr>
      <w:r w:rsidRPr="00843A18">
        <w:rPr>
          <w:rFonts w:asciiTheme="majorHAnsi" w:eastAsiaTheme="majorHAnsi" w:hAnsiTheme="majorHAnsi" w:cs="Times New Roman"/>
          <w:szCs w:val="20"/>
        </w:rPr>
        <w:br w:type="page"/>
      </w:r>
    </w:p>
    <w:p w14:paraId="3C575F5F" w14:textId="094E7241" w:rsidR="00AE437A" w:rsidRPr="00843A18" w:rsidRDefault="00532326" w:rsidP="00532326">
      <w:pPr>
        <w:pStyle w:val="Default"/>
        <w:spacing w:line="276" w:lineRule="auto"/>
        <w:rPr>
          <w:rFonts w:asciiTheme="majorHAnsi" w:eastAsiaTheme="majorHAnsi" w:hAnsiTheme="majorHAnsi" w:cs="Wingdings"/>
          <w:b/>
          <w:sz w:val="32"/>
          <w:szCs w:val="32"/>
        </w:rPr>
      </w:pP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lastRenderedPageBreak/>
        <w:t>강의</w:t>
      </w:r>
      <w:r w:rsidR="001658A2">
        <w:rPr>
          <w:rFonts w:asciiTheme="majorHAnsi" w:eastAsiaTheme="majorHAnsi" w:hAnsiTheme="majorHAnsi" w:cs="Wingdings" w:hint="eastAsia"/>
          <w:b/>
          <w:sz w:val="32"/>
          <w:szCs w:val="32"/>
        </w:rPr>
        <w:t xml:space="preserve"> </w:t>
      </w:r>
      <w:r w:rsidRPr="00843A18">
        <w:rPr>
          <w:rFonts w:asciiTheme="majorHAnsi" w:eastAsiaTheme="majorHAnsi" w:hAnsiTheme="majorHAnsi" w:cs="Wingdings" w:hint="eastAsia"/>
          <w:b/>
          <w:sz w:val="32"/>
          <w:szCs w:val="32"/>
        </w:rPr>
        <w:t>시간표</w:t>
      </w:r>
    </w:p>
    <w:tbl>
      <w:tblPr>
        <w:tblOverlap w:val="never"/>
        <w:tblW w:w="0" w:type="auto"/>
        <w:tblInd w:w="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5"/>
        <w:gridCol w:w="4458"/>
        <w:gridCol w:w="2397"/>
      </w:tblGrid>
      <w:tr w:rsidR="00346712" w:rsidRPr="00843A18" w14:paraId="466BA5DA" w14:textId="77777777" w:rsidTr="00492A01">
        <w:trPr>
          <w:trHeight w:val="446"/>
        </w:trPr>
        <w:tc>
          <w:tcPr>
            <w:tcW w:w="899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CCB5EB" w14:textId="77777777" w:rsidR="00346712" w:rsidRPr="00843A18" w:rsidRDefault="00346712" w:rsidP="00492A01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346712" w:rsidRPr="00843A18" w14:paraId="67C68062" w14:textId="77777777" w:rsidTr="00532326">
        <w:trPr>
          <w:trHeight w:val="894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239801" w14:textId="77777777" w:rsidR="00346712" w:rsidRPr="00A8082A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A8082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시 간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8B0E9F" w14:textId="77777777" w:rsidR="00346712" w:rsidRPr="00A8082A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A8082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발 표 내 용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C9C57" w14:textId="77777777" w:rsidR="00346712" w:rsidRPr="00A8082A" w:rsidRDefault="00346712" w:rsidP="0053232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4"/>
                <w:szCs w:val="26"/>
              </w:rPr>
            </w:pPr>
            <w:r w:rsidRPr="00A8082A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4"/>
                <w:szCs w:val="26"/>
              </w:rPr>
              <w:t>연 자</w:t>
            </w:r>
          </w:p>
        </w:tc>
      </w:tr>
      <w:tr w:rsidR="00346712" w:rsidRPr="00843A18" w14:paraId="792A2011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381415" w14:textId="7849B746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bookmarkStart w:id="0" w:name="_GoBack" w:colFirst="0" w:colLast="2"/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09:00-09:20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(20)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67335D" w14:textId="77777777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등 록 </w:t>
            </w:r>
          </w:p>
        </w:tc>
      </w:tr>
      <w:tr w:rsidR="00346712" w:rsidRPr="00843A18" w14:paraId="5DB88B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1D2F99" w14:textId="4D73157C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09:20-09:30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B7F17F" w14:textId="77777777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공지사항 전달</w:t>
            </w:r>
          </w:p>
        </w:tc>
      </w:tr>
      <w:tr w:rsidR="00346712" w:rsidRPr="00843A18" w14:paraId="5A68FA2C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BBC2E00" w14:textId="31428CF8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9:30–10: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3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0(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60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D3D5E29" w14:textId="19C2CAAE" w:rsidR="00346712" w:rsidRPr="00A8082A" w:rsidRDefault="00224008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B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est practice for single-cell data analysis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523285" w14:textId="7837D1CC" w:rsidR="00346712" w:rsidRPr="00A8082A" w:rsidRDefault="007F60FC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박종은</w:t>
            </w:r>
            <w:r w:rsidR="001658A2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1658A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6F46BC13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8524C5E" w14:textId="257A1984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3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="00346712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–1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="00346712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40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487894" w14:textId="2AAF9253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휴식 </w:t>
            </w:r>
            <w:r w:rsidR="00467689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및 질의응답</w:t>
            </w:r>
          </w:p>
        </w:tc>
      </w:tr>
      <w:tr w:rsidR="00346712" w:rsidRPr="00843A18" w14:paraId="5F607D3D" w14:textId="77777777" w:rsidTr="00492A01">
        <w:trPr>
          <w:trHeight w:val="68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AA1DD7" w14:textId="0618FD1A" w:rsidR="00346712" w:rsidRPr="00A8082A" w:rsidRDefault="0046768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4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0-12: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0(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8</w:t>
            </w:r>
            <w:r w:rsidR="00CA4C91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477B2D" w14:textId="311848AA" w:rsidR="00346712" w:rsidRPr="00A8082A" w:rsidRDefault="00467689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Practice1: Scanpy basic workflow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D3E6B" w14:textId="6C861A18" w:rsidR="00346712" w:rsidRPr="00A8082A" w:rsidRDefault="007F60FC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김우</w:t>
            </w:r>
            <w:r w:rsidR="00467689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석,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467689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김성룡</w:t>
            </w: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  <w:r w:rsidR="001658A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  <w:tr w:rsidR="00346712" w:rsidRPr="00843A18" w14:paraId="628D4EB6" w14:textId="77777777" w:rsidTr="00492A01">
        <w:trPr>
          <w:trHeight w:val="376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3D7D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17C5B" w14:textId="2167DD28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12: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</w:t>
            </w:r>
            <w:r w:rsidR="0034671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–</w:t>
            </w: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13: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3</w:t>
            </w:r>
            <w:r w:rsidR="0034671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(90)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AFC77D1" w14:textId="77777777" w:rsidR="00346712" w:rsidRPr="00A8082A" w:rsidRDefault="00346712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점 심</w:t>
            </w:r>
          </w:p>
        </w:tc>
      </w:tr>
      <w:tr w:rsidR="00346712" w:rsidRPr="00843A18" w14:paraId="44F00344" w14:textId="77777777" w:rsidTr="00492A01">
        <w:trPr>
          <w:trHeight w:val="4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118863" w14:textId="77DBF311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13: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3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0-1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4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5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0(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8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AA29DC" w14:textId="36F3B4AE" w:rsidR="00346712" w:rsidRPr="00A8082A" w:rsidRDefault="00467689" w:rsidP="00532326">
            <w:pPr>
              <w:tabs>
                <w:tab w:val="left" w:pos="3753"/>
              </w:tabs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A6A6A6" w:themeColor="background1" w:themeShade="A6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P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ublic data, batch correction, cell annotation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C14CC56" w14:textId="16683832" w:rsidR="00346712" w:rsidRPr="00A8082A" w:rsidRDefault="007F60FC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박종은 </w:t>
            </w:r>
            <w:r w:rsidR="001658A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교수</w:t>
            </w:r>
          </w:p>
        </w:tc>
      </w:tr>
      <w:tr w:rsidR="00346712" w:rsidRPr="00843A18" w14:paraId="162516F4" w14:textId="77777777" w:rsidTr="00492A01">
        <w:trPr>
          <w:trHeight w:val="28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6BA23A4" w14:textId="3123D6D7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4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5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0-15: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0(10)</w:t>
            </w:r>
          </w:p>
        </w:tc>
        <w:tc>
          <w:tcPr>
            <w:tcW w:w="6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F61F8B" w14:textId="77777777" w:rsidR="00346712" w:rsidRPr="00A8082A" w:rsidRDefault="00346712" w:rsidP="00492A01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휴 식</w:t>
            </w:r>
          </w:p>
        </w:tc>
      </w:tr>
      <w:tr w:rsidR="00346712" w:rsidRPr="00843A18" w14:paraId="7A09936B" w14:textId="77777777" w:rsidTr="00492A01">
        <w:trPr>
          <w:trHeight w:val="427"/>
        </w:trPr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EE4112" w14:textId="32F90E6C" w:rsidR="00346712" w:rsidRPr="00A8082A" w:rsidRDefault="00CA4C91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15: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0-1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7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: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0(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10</w:t>
            </w: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0)</w:t>
            </w:r>
          </w:p>
        </w:tc>
        <w:tc>
          <w:tcPr>
            <w:tcW w:w="4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430C61" w14:textId="703BB32E" w:rsidR="00346712" w:rsidRPr="00A8082A" w:rsidRDefault="00467689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>Practice2: Advanced single-cell analysis</w:t>
            </w:r>
          </w:p>
        </w:tc>
        <w:tc>
          <w:tcPr>
            <w:tcW w:w="2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ED1F5" w14:textId="291C3D02" w:rsidR="00346712" w:rsidRPr="00A8082A" w:rsidRDefault="007F60FC" w:rsidP="00492A01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김성룡</w:t>
            </w:r>
            <w:r w:rsidR="00467689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,</w:t>
            </w:r>
            <w:r w:rsidR="00467689" w:rsidRPr="00A8082A"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  <w:t xml:space="preserve"> </w:t>
            </w:r>
            <w:r w:rsidR="00467689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김우석</w:t>
            </w:r>
            <w:r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 xml:space="preserve"> </w:t>
            </w:r>
            <w:r w:rsidR="001658A2" w:rsidRPr="00A8082A">
              <w:rPr>
                <w:rFonts w:asciiTheme="majorHAnsi" w:eastAsiaTheme="majorHAnsi" w:hAnsiTheme="majorHAnsi" w:cs="굴림" w:hint="eastAsia"/>
                <w:color w:val="000000"/>
                <w:kern w:val="0"/>
                <w:szCs w:val="20"/>
              </w:rPr>
              <w:t>조교</w:t>
            </w:r>
          </w:p>
        </w:tc>
      </w:tr>
      <w:bookmarkEnd w:id="0"/>
    </w:tbl>
    <w:p w14:paraId="33003DE0" w14:textId="047B68B0" w:rsidR="00ED26EA" w:rsidRDefault="00ED26EA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p w14:paraId="0D6BEAB4" w14:textId="08FAB412" w:rsidR="00216A3D" w:rsidRPr="00843A18" w:rsidRDefault="00216A3D" w:rsidP="00346712">
      <w:pPr>
        <w:widowControl/>
        <w:wordWrap/>
        <w:autoSpaceDE/>
        <w:autoSpaceDN/>
        <w:rPr>
          <w:rFonts w:asciiTheme="majorHAnsi" w:eastAsiaTheme="majorHAnsi" w:hAnsiTheme="majorHAnsi"/>
        </w:rPr>
      </w:pPr>
    </w:p>
    <w:sectPr w:rsidR="00216A3D" w:rsidRPr="00843A18"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40C4B" w14:textId="77777777" w:rsidR="00CA3ACF" w:rsidRDefault="00CA3ACF" w:rsidP="00843A18">
      <w:pPr>
        <w:spacing w:after="0" w:line="240" w:lineRule="auto"/>
      </w:pPr>
      <w:r>
        <w:separator/>
      </w:r>
    </w:p>
  </w:endnote>
  <w:endnote w:type="continuationSeparator" w:id="0">
    <w:p w14:paraId="6D65B525" w14:textId="77777777" w:rsidR="00CA3ACF" w:rsidRDefault="00CA3ACF" w:rsidP="0084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altName w:val="바탕"/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나눔바른고딕">
    <w:altName w:val="돋움"/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007749" w14:textId="77777777" w:rsidR="00CA3ACF" w:rsidRDefault="00CA3ACF" w:rsidP="00843A18">
      <w:pPr>
        <w:spacing w:after="0" w:line="240" w:lineRule="auto"/>
      </w:pPr>
      <w:r>
        <w:separator/>
      </w:r>
    </w:p>
  </w:footnote>
  <w:footnote w:type="continuationSeparator" w:id="0">
    <w:p w14:paraId="6A29DE20" w14:textId="77777777" w:rsidR="00CA3ACF" w:rsidRDefault="00CA3ACF" w:rsidP="00843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D3A99"/>
    <w:multiLevelType w:val="hybridMultilevel"/>
    <w:tmpl w:val="ACF609E0"/>
    <w:lvl w:ilvl="0" w:tplc="55F61FD2">
      <w:start w:val="1"/>
      <w:numFmt w:val="decimal"/>
      <w:lvlText w:val="%1."/>
      <w:lvlJc w:val="left"/>
      <w:pPr>
        <w:ind w:left="400" w:hanging="400"/>
      </w:pPr>
    </w:lvl>
    <w:lvl w:ilvl="1" w:tplc="48AC836A">
      <w:start w:val="1"/>
      <w:numFmt w:val="upperLetter"/>
      <w:lvlText w:val="%2."/>
      <w:lvlJc w:val="left"/>
      <w:pPr>
        <w:ind w:left="7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D306E04"/>
    <w:multiLevelType w:val="hybridMultilevel"/>
    <w:tmpl w:val="D5B8B56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C6874F8"/>
    <w:multiLevelType w:val="hybridMultilevel"/>
    <w:tmpl w:val="420E78E2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hideGrammaticalErrors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A1"/>
    <w:rsid w:val="00036792"/>
    <w:rsid w:val="001658A2"/>
    <w:rsid w:val="00216A3D"/>
    <w:rsid w:val="00224008"/>
    <w:rsid w:val="00307207"/>
    <w:rsid w:val="00346712"/>
    <w:rsid w:val="00370B53"/>
    <w:rsid w:val="003909D5"/>
    <w:rsid w:val="00467689"/>
    <w:rsid w:val="00532326"/>
    <w:rsid w:val="005F4A42"/>
    <w:rsid w:val="006F2DFA"/>
    <w:rsid w:val="007F60FC"/>
    <w:rsid w:val="00843A18"/>
    <w:rsid w:val="008F7CF6"/>
    <w:rsid w:val="009D67F8"/>
    <w:rsid w:val="009F119E"/>
    <w:rsid w:val="00A50014"/>
    <w:rsid w:val="00A8082A"/>
    <w:rsid w:val="00A96084"/>
    <w:rsid w:val="00AE437A"/>
    <w:rsid w:val="00B216A1"/>
    <w:rsid w:val="00BA00A9"/>
    <w:rsid w:val="00C74727"/>
    <w:rsid w:val="00CA31C9"/>
    <w:rsid w:val="00CA3ACF"/>
    <w:rsid w:val="00CA4C91"/>
    <w:rsid w:val="00D23AB7"/>
    <w:rsid w:val="00D708A9"/>
    <w:rsid w:val="00D75691"/>
    <w:rsid w:val="00E70511"/>
    <w:rsid w:val="00ED26EA"/>
    <w:rsid w:val="00F42324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BA6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pPr>
      <w:tabs>
        <w:tab w:val="center" w:pos="4513"/>
        <w:tab w:val="right" w:pos="9026"/>
      </w:tabs>
      <w:snapToGrid w:val="0"/>
    </w:pPr>
  </w:style>
  <w:style w:type="paragraph" w:styleId="a4">
    <w:name w:val="Balloon Text"/>
    <w:basedOn w:val="a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paragraph" w:customStyle="1" w:styleId="DataField11pt-Single">
    <w:name w:val="Data Field 11pt-Single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 w:val="22"/>
      <w:szCs w:val="20"/>
      <w:lang w:eastAsia="en-US"/>
    </w:rPr>
  </w:style>
  <w:style w:type="paragraph" w:styleId="a5">
    <w:name w:val="header"/>
    <w:basedOn w:val="a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</w:style>
  <w:style w:type="character" w:styleId="a6">
    <w:name w:val="Hyperlink"/>
    <w:basedOn w:val="a0"/>
    <w:unhideWhenUsed/>
    <w:rPr>
      <w:color w:val="0000FF"/>
      <w:u w:val="single"/>
    </w:rPr>
  </w:style>
  <w:style w:type="character" w:customStyle="1" w:styleId="Char0">
    <w:name w:val="풍선 도움말 텍스트 Char"/>
    <w:basedOn w:val="a0"/>
    <w:semiHidden/>
    <w:rPr>
      <w:rFonts w:asciiTheme="majorHAnsi" w:eastAsiaTheme="majorEastAsia" w:hAnsiTheme="majorHAnsi" w:cstheme="majorBidi"/>
      <w:sz w:val="16"/>
      <w:szCs w:val="16"/>
    </w:rPr>
  </w:style>
  <w:style w:type="character" w:customStyle="1" w:styleId="DataField11pt-SingleChar">
    <w:name w:val="Data Field 11pt-Single Char"/>
    <w:rPr>
      <w:rFonts w:ascii="Arial" w:hAnsi="Arial" w:cs="Arial"/>
      <w:kern w:val="0"/>
      <w:sz w:val="22"/>
      <w:szCs w:val="20"/>
      <w:lang w:eastAsia="en-US"/>
    </w:rPr>
  </w:style>
  <w:style w:type="paragraph" w:customStyle="1" w:styleId="DataField10pt">
    <w:name w:val="Data Field 10pt"/>
    <w:basedOn w:val="a"/>
    <w:qFormat/>
    <w:pPr>
      <w:widowControl/>
      <w:wordWrap/>
      <w:spacing w:after="0" w:line="240" w:lineRule="auto"/>
      <w:jc w:val="left"/>
    </w:pPr>
    <w:rPr>
      <w:rFonts w:ascii="Arial" w:hAnsi="Arial" w:cs="Arial"/>
      <w:kern w:val="0"/>
      <w:szCs w:val="20"/>
      <w:lang w:eastAsia="en-US"/>
    </w:rPr>
  </w:style>
  <w:style w:type="character" w:customStyle="1" w:styleId="1">
    <w:name w:val="확인되지 않은 멘션1"/>
    <w:basedOn w:val="a0"/>
    <w:semiHidden/>
    <w:unhideWhenUsed/>
    <w:rPr>
      <w:color w:val="808080"/>
      <w:shd w:val="clear" w:color="auto" w:fill="E6E6E6"/>
    </w:rPr>
  </w:style>
  <w:style w:type="paragraph" w:customStyle="1" w:styleId="Default">
    <w:name w:val="Default"/>
    <w:pPr>
      <w:widowControl w:val="0"/>
      <w:autoSpaceDE w:val="0"/>
      <w:autoSpaceDN w:val="0"/>
      <w:spacing w:after="0" w:line="240" w:lineRule="auto"/>
      <w:jc w:val="left"/>
    </w:pPr>
    <w:rPr>
      <w:rFonts w:ascii="맑은 고딕" w:eastAsia="맑은 고딕" w:cs="맑은 고딕"/>
      <w:color w:val="000000"/>
      <w:kern w:val="0"/>
      <w:sz w:val="24"/>
      <w:szCs w:val="24"/>
    </w:rPr>
  </w:style>
  <w:style w:type="paragraph" w:customStyle="1" w:styleId="FrameContents">
    <w:name w:val="Frame Contents"/>
    <w:basedOn w:val="a"/>
    <w:qFormat/>
    <w:pPr>
      <w:wordWrap/>
      <w:autoSpaceDE/>
      <w:autoSpaceDN/>
    </w:pPr>
  </w:style>
  <w:style w:type="paragraph" w:customStyle="1" w:styleId="a7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8">
    <w:name w:val="List Paragraph"/>
    <w:basedOn w:val="a"/>
    <w:qFormat/>
    <w:pPr>
      <w:ind w:left="720"/>
      <w:contextualSpacing/>
    </w:pPr>
  </w:style>
  <w:style w:type="character" w:customStyle="1" w:styleId="Char1">
    <w:name w:val="머리글 Char"/>
    <w:basedOn w:val="a0"/>
  </w:style>
  <w:style w:type="paragraph" w:styleId="a9">
    <w:name w:val="Normal (Web)"/>
    <w:basedOn w:val="a"/>
    <w:uiPriority w:val="99"/>
    <w:semiHidden/>
    <w:unhideWhenUsed/>
    <w:rsid w:val="00ED26E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gmaildefault">
    <w:name w:val="gmail_default"/>
    <w:basedOn w:val="a0"/>
    <w:rsid w:val="00ED2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3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ettings" Target="settings.xml"/><Relationship Id="rId7" Type="http://schemas.openxmlformats.org/officeDocument/2006/relationships/hyperlink" Target="https://scanpy.readthedocs.io/en/stable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2023-01-05T10:59:00Z</dcterms:created>
  <dcterms:modified xsi:type="dcterms:W3CDTF">2023-01-06T00:48:00Z</dcterms:modified>
  <cp:version>0900.0001.01</cp:version>
</cp:coreProperties>
</file>