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4EA" w:rsidRPr="00585DC9" w:rsidRDefault="00EB04EA" w:rsidP="00EB04EA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08458F" w:rsidRPr="00EB04EA" w:rsidRDefault="0008458F" w:rsidP="00EB04EA">
      <w:pPr>
        <w:pStyle w:val="Default"/>
        <w:spacing w:line="276" w:lineRule="auto"/>
        <w:rPr>
          <w:rFonts w:ascii="나눔바른고딕" w:eastAsia="나눔바른고딕" w:hAnsi="나눔바른고딕"/>
          <w:sz w:val="22"/>
          <w:szCs w:val="32"/>
        </w:rPr>
      </w:pPr>
    </w:p>
    <w:p w:rsidR="0008458F" w:rsidRPr="00EB04EA" w:rsidRDefault="00CA553E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36"/>
          <w:szCs w:val="36"/>
        </w:rPr>
      </w:pPr>
      <w:bookmarkStart w:id="0" w:name="OLE_LINK5"/>
      <w:r w:rsidRPr="00EB04EA">
        <w:rPr>
          <w:rFonts w:ascii="Tahoma" w:eastAsia="나눔바른고딕" w:hAnsi="Tahoma" w:cs="Tahoma" w:hint="eastAsia"/>
          <w:sz w:val="36"/>
          <w:szCs w:val="36"/>
        </w:rPr>
        <w:t>Noncoding variants and deep learning</w:t>
      </w:r>
      <w:bookmarkEnd w:id="0"/>
    </w:p>
    <w:p w:rsidR="0008458F" w:rsidRDefault="0008458F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08458F" w:rsidRPr="00EB04EA" w:rsidRDefault="00CA553E">
      <w:pPr>
        <w:pStyle w:val="Default"/>
        <w:spacing w:line="276" w:lineRule="auto"/>
        <w:ind w:firstLine="230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악성종양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등의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복합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질환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환자의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>DNA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를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시퀀싱을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했을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때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,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넌코딩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영역에서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많은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변이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>(n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on</w:t>
      </w:r>
      <w:r w:rsidRPr="00EB04EA">
        <w:rPr>
          <w:rFonts w:asciiTheme="minorEastAsia" w:eastAsiaTheme="minorEastAsia" w:hAnsiTheme="minorEastAsia"/>
          <w:sz w:val="20"/>
          <w:szCs w:val="20"/>
        </w:rPr>
        <w:t>coding variant)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관찰되고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있다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Noncoding variants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유전자의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발현이나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질병의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진행에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미치는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영향에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대한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연구는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질병</w:t>
      </w:r>
      <w:r w:rsidRPr="00EB04EA">
        <w:rPr>
          <w:rFonts w:asciiTheme="minorEastAsia" w:eastAsiaTheme="minorEastAsia" w:hAnsiTheme="minorEastAsia"/>
          <w:sz w:val="20"/>
          <w:szCs w:val="20"/>
        </w:rPr>
        <w:t>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이해하고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이를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치료하기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위한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타겟을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선정하는데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중요하다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.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최근에는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DNA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시퀀스에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기반하여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>noncoding variant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기능적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영향을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예측하기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위한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다양한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딥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러닝에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방법론들이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개발되고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있다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.</w:t>
      </w:r>
    </w:p>
    <w:p w:rsidR="0008458F" w:rsidRPr="00EB04EA" w:rsidRDefault="00CA553E">
      <w:pPr>
        <w:pStyle w:val="Default"/>
        <w:spacing w:line="276" w:lineRule="auto"/>
        <w:ind w:firstLine="230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본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강의에서는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noncodi</w:t>
      </w:r>
      <w:r w:rsidRPr="00EB04EA">
        <w:rPr>
          <w:rFonts w:asciiTheme="minorEastAsia" w:eastAsiaTheme="minorEastAsia" w:hAnsiTheme="minorEastAsia"/>
          <w:sz w:val="20"/>
          <w:szCs w:val="20"/>
        </w:rPr>
        <w:t>ng variant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기능적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영향을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예측하기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위한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딥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러닝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방법론들을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소개하고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이러한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방법론을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환자의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DNA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시퀀스에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적용하여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,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질병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관련된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유전자들을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발굴한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연구들을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살펴본다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본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강의를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통해서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DNA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시퀀스에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적용된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딥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러닝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방법론들과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이를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생물학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지식으로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변환하는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연구들을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이해하는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것을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목표로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한다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08458F" w:rsidRPr="00EB04EA" w:rsidRDefault="00CA553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Noncoding variants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개요</w:t>
      </w:r>
    </w:p>
    <w:p w:rsidR="0008458F" w:rsidRPr="00EB04EA" w:rsidRDefault="00CA553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딥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러닝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방법론의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DNA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시퀀스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적용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08458F" w:rsidRPr="00EB04EA" w:rsidRDefault="00CA553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Noncoding variants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기능적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영향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예측</w:t>
      </w:r>
    </w:p>
    <w:p w:rsidR="0008458F" w:rsidRDefault="00CA553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>질병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관련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변이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예측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연구</w:t>
      </w:r>
    </w:p>
    <w:p w:rsidR="00EB04EA" w:rsidRDefault="00EB04EA" w:rsidP="00EB04EA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</w:p>
    <w:p w:rsidR="00EB04EA" w:rsidRPr="00EB04EA" w:rsidRDefault="00EB04EA" w:rsidP="00EB04EA">
      <w:pPr>
        <w:pStyle w:val="Default"/>
        <w:spacing w:line="276" w:lineRule="auto"/>
        <w:rPr>
          <w:rFonts w:ascii="NanumMyeongjo" w:eastAsia="NanumMyeongjo" w:hAnsi="NanumMyeongjo" w:cs="굴림" w:hint="eastAsia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:rsidR="0008458F" w:rsidRPr="00EB04EA" w:rsidRDefault="0008458F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08458F" w:rsidRPr="00EB04EA" w:rsidRDefault="00CA553E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*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강의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:</w:t>
      </w:r>
      <w:r w:rsidRPr="00EB04E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이현주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교수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/>
          <w:sz w:val="20"/>
          <w:szCs w:val="20"/>
        </w:rPr>
        <w:t>(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광주과학기술원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전기전자컴퓨터공학부</w:t>
      </w:r>
      <w:r w:rsidRPr="00EB04E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:rsidR="0008458F" w:rsidRDefault="0008458F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08458F" w:rsidRDefault="00CA553E">
      <w:pPr>
        <w:rPr>
          <w:rFonts w:ascii="나눔바른고딕" w:eastAsia="나눔바른고딕" w:hAnsi="나눔바른고딕"/>
        </w:rPr>
      </w:pPr>
      <w:r>
        <w:rPr>
          <w:rFonts w:ascii="나눔바른고딕" w:eastAsia="나눔바른고딕" w:hAnsi="나눔바른고딕"/>
        </w:rPr>
        <w:br w:type="page"/>
      </w:r>
    </w:p>
    <w:p w:rsidR="0008458F" w:rsidRDefault="00CA553E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08458F" w:rsidRDefault="0008458F">
      <w:pPr>
        <w:spacing w:after="0"/>
        <w:rPr>
          <w:rFonts w:ascii="Tahoma" w:eastAsia="나눔바른고딕" w:hAnsi="Tahoma" w:cs="Tahoma"/>
          <w:b/>
          <w:sz w:val="22"/>
        </w:rPr>
      </w:pPr>
    </w:p>
    <w:p w:rsidR="0008458F" w:rsidRDefault="00CA553E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458F" w:rsidRDefault="00CA553E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>
                                  <wp:extent cx="1288415" cy="1623060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8415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08458F" w:rsidRDefault="00CA553E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>
                            <wp:extent cx="1288415" cy="1623060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8415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Hyunju Lee, Ph.D.</w:t>
      </w:r>
    </w:p>
    <w:p w:rsidR="0008458F" w:rsidRDefault="00CA553E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08458F" w:rsidRDefault="00CA553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Hyunju Lee</w:t>
      </w:r>
    </w:p>
    <w:p w:rsidR="0008458F" w:rsidRDefault="00CA553E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Professor</w:t>
      </w:r>
    </w:p>
    <w:p w:rsidR="0008458F" w:rsidRDefault="00CA553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Affiliation         </w:t>
      </w:r>
      <w:r>
        <w:rPr>
          <w:rFonts w:ascii="맑은 고딕" w:eastAsia="맑은 고딕" w:hAnsi="맑은 고딕" w:cs="Arial" w:hint="eastAsia"/>
        </w:rPr>
        <w:t xml:space="preserve">Gwangju </w:t>
      </w:r>
      <w:r>
        <w:rPr>
          <w:rFonts w:ascii="맑은 고딕" w:eastAsia="맑은 고딕" w:hAnsi="맑은 고딕" w:cs="Arial" w:hint="eastAsia"/>
        </w:rPr>
        <w:t>Institute of Science and Technology</w:t>
      </w:r>
    </w:p>
    <w:p w:rsidR="0008458F" w:rsidRDefault="00CA553E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08458F" w:rsidRDefault="00CA553E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  <w:t>123 Cheomdangwagi-ro, Buk-gu, Gwangju, 61005</w:t>
      </w:r>
    </w:p>
    <w:p w:rsidR="0008458F" w:rsidRDefault="00CA553E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hyunjulee@gist.ac.kr</w:t>
      </w:r>
    </w:p>
    <w:p w:rsidR="0008458F" w:rsidRDefault="00CA553E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062-715-2213</w:t>
      </w:r>
    </w:p>
    <w:p w:rsidR="0008458F" w:rsidRDefault="00CA553E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08458F" w:rsidRPr="00EB04EA" w:rsidRDefault="00CA553E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bookmarkStart w:id="1" w:name="_GoBack"/>
      <w:r w:rsidRPr="00EB04EA">
        <w:rPr>
          <w:rFonts w:asciiTheme="majorEastAsia" w:eastAsiaTheme="majorEastAsia" w:hAnsiTheme="majorEastAsia"/>
          <w:b/>
          <w:szCs w:val="20"/>
        </w:rPr>
        <w:t xml:space="preserve">Research interest : </w:t>
      </w:r>
      <w:r w:rsidRPr="00EB04EA">
        <w:rPr>
          <w:rFonts w:asciiTheme="majorEastAsia" w:eastAsiaTheme="majorEastAsia" w:hAnsiTheme="majorEastAsia"/>
          <w:szCs w:val="20"/>
        </w:rPr>
        <w:t>Bioinformatics, Machine learning, and Text Mining</w:t>
      </w:r>
    </w:p>
    <w:p w:rsidR="0008458F" w:rsidRPr="00EB04EA" w:rsidRDefault="0008458F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:rsidR="0008458F" w:rsidRPr="00EB04EA" w:rsidRDefault="00CA553E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EB04EA">
        <w:rPr>
          <w:rFonts w:asciiTheme="majorEastAsia" w:eastAsiaTheme="majorEastAsia" w:hAnsiTheme="majorEastAsia"/>
          <w:b/>
          <w:szCs w:val="20"/>
        </w:rPr>
        <w:t>Educational Experie</w:t>
      </w:r>
      <w:r w:rsidRPr="00EB04EA">
        <w:rPr>
          <w:rFonts w:asciiTheme="majorEastAsia" w:eastAsiaTheme="majorEastAsia" w:hAnsiTheme="majorEastAsia"/>
          <w:b/>
          <w:szCs w:val="20"/>
        </w:rPr>
        <w:t>nce</w:t>
      </w:r>
    </w:p>
    <w:p w:rsidR="0008458F" w:rsidRPr="00EB04EA" w:rsidRDefault="00CA553E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EB04EA">
        <w:rPr>
          <w:rFonts w:asciiTheme="majorEastAsia" w:eastAsiaTheme="majorEastAsia" w:hAnsiTheme="majorEastAsia"/>
          <w:lang w:eastAsia="ko-KR"/>
        </w:rPr>
        <w:t xml:space="preserve">1997 </w:t>
      </w:r>
      <w:r w:rsidRPr="00EB04EA">
        <w:rPr>
          <w:rFonts w:asciiTheme="majorEastAsia" w:eastAsiaTheme="majorEastAsia" w:hAnsiTheme="majorEastAsia"/>
          <w:lang w:eastAsia="ko-KR"/>
        </w:rPr>
        <w:tab/>
      </w:r>
      <w:r w:rsidRPr="00EB04EA">
        <w:rPr>
          <w:rFonts w:asciiTheme="majorEastAsia" w:eastAsiaTheme="majorEastAsia" w:hAnsiTheme="majorEastAsia"/>
          <w:lang w:eastAsia="ko-KR"/>
        </w:rPr>
        <w:tab/>
        <w:t>B.S. in Computer Science, KAIST, South Korea</w:t>
      </w:r>
    </w:p>
    <w:p w:rsidR="0008458F" w:rsidRPr="00EB04EA" w:rsidRDefault="00CA553E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EB04EA">
        <w:rPr>
          <w:rFonts w:asciiTheme="majorEastAsia" w:eastAsiaTheme="majorEastAsia" w:hAnsiTheme="majorEastAsia"/>
          <w:lang w:eastAsia="ko-KR"/>
        </w:rPr>
        <w:t xml:space="preserve">1999 </w:t>
      </w:r>
      <w:r w:rsidRPr="00EB04EA">
        <w:rPr>
          <w:rFonts w:asciiTheme="majorEastAsia" w:eastAsiaTheme="majorEastAsia" w:hAnsiTheme="majorEastAsia"/>
          <w:lang w:eastAsia="ko-KR"/>
        </w:rPr>
        <w:tab/>
      </w:r>
      <w:r w:rsidRPr="00EB04EA">
        <w:rPr>
          <w:rFonts w:asciiTheme="majorEastAsia" w:eastAsiaTheme="majorEastAsia" w:hAnsiTheme="majorEastAsia"/>
          <w:lang w:eastAsia="ko-KR"/>
        </w:rPr>
        <w:tab/>
        <w:t>M.A. in Computer Engineering, Seoul National University, South Korea</w:t>
      </w:r>
    </w:p>
    <w:p w:rsidR="0008458F" w:rsidRPr="00EB04EA" w:rsidRDefault="00CA553E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EB04EA">
        <w:rPr>
          <w:rFonts w:asciiTheme="majorEastAsia" w:eastAsiaTheme="majorEastAsia" w:hAnsiTheme="majorEastAsia"/>
          <w:lang w:eastAsia="ko-KR"/>
        </w:rPr>
        <w:t xml:space="preserve">2006 </w:t>
      </w:r>
      <w:r w:rsidRPr="00EB04EA">
        <w:rPr>
          <w:rFonts w:asciiTheme="majorEastAsia" w:eastAsiaTheme="majorEastAsia" w:hAnsiTheme="majorEastAsia"/>
          <w:lang w:eastAsia="ko-KR"/>
        </w:rPr>
        <w:tab/>
      </w:r>
      <w:r w:rsidRPr="00EB04EA">
        <w:rPr>
          <w:rFonts w:asciiTheme="majorEastAsia" w:eastAsiaTheme="majorEastAsia" w:hAnsiTheme="majorEastAsia"/>
          <w:lang w:eastAsia="ko-KR"/>
        </w:rPr>
        <w:tab/>
        <w:t>Ph.D. in Computer Science, University of Southern California, USA</w:t>
      </w:r>
    </w:p>
    <w:p w:rsidR="0008458F" w:rsidRPr="00EB04EA" w:rsidRDefault="0008458F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:rsidR="0008458F" w:rsidRPr="00EB04EA" w:rsidRDefault="00CA553E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EB04EA">
        <w:rPr>
          <w:rFonts w:asciiTheme="majorEastAsia" w:eastAsiaTheme="majorEastAsia" w:hAnsiTheme="majorEastAsia"/>
          <w:b/>
          <w:szCs w:val="20"/>
        </w:rPr>
        <w:t>Professional Experience</w:t>
      </w:r>
    </w:p>
    <w:p w:rsidR="0008458F" w:rsidRPr="00EB04EA" w:rsidRDefault="00CA553E">
      <w:pPr>
        <w:pStyle w:val="DataField10pt"/>
        <w:ind w:left="1581" w:hanging="1581"/>
        <w:jc w:val="both"/>
        <w:rPr>
          <w:rFonts w:asciiTheme="majorEastAsia" w:eastAsiaTheme="majorEastAsia" w:hAnsiTheme="majorEastAsia"/>
          <w:lang w:eastAsia="ko-KR"/>
        </w:rPr>
      </w:pPr>
      <w:r w:rsidRPr="00EB04EA">
        <w:rPr>
          <w:rFonts w:asciiTheme="majorEastAsia" w:eastAsiaTheme="majorEastAsia" w:hAnsiTheme="majorEastAsia"/>
          <w:lang w:eastAsia="ko-KR"/>
        </w:rPr>
        <w:t>2006-2007</w:t>
      </w:r>
      <w:r w:rsidRPr="00EB04EA">
        <w:rPr>
          <w:rFonts w:asciiTheme="majorEastAsia" w:eastAsiaTheme="majorEastAsia" w:hAnsiTheme="majorEastAsia"/>
          <w:lang w:eastAsia="ko-KR"/>
        </w:rPr>
        <w:tab/>
        <w:t>Post-doc R</w:t>
      </w:r>
      <w:r w:rsidRPr="00EB04EA">
        <w:rPr>
          <w:rFonts w:asciiTheme="majorEastAsia" w:eastAsiaTheme="majorEastAsia" w:hAnsiTheme="majorEastAsia"/>
          <w:lang w:eastAsia="ko-KR"/>
        </w:rPr>
        <w:t>esearch Fellow, Brigham and Women's Hospital and Harvard Medical School, USA</w:t>
      </w:r>
    </w:p>
    <w:p w:rsidR="0008458F" w:rsidRPr="00EB04EA" w:rsidRDefault="00CA553E" w:rsidP="00EB04EA">
      <w:pPr>
        <w:pStyle w:val="DataField10pt"/>
        <w:ind w:left="1581" w:hanging="1581"/>
        <w:jc w:val="both"/>
        <w:rPr>
          <w:rFonts w:asciiTheme="majorEastAsia" w:eastAsiaTheme="majorEastAsia" w:hAnsiTheme="majorEastAsia" w:hint="eastAsia"/>
          <w:lang w:eastAsia="ko-KR"/>
        </w:rPr>
      </w:pPr>
      <w:r w:rsidRPr="00EB04EA">
        <w:rPr>
          <w:rFonts w:asciiTheme="majorEastAsia" w:eastAsiaTheme="majorEastAsia" w:hAnsiTheme="majorEastAsia"/>
          <w:lang w:eastAsia="ko-KR"/>
        </w:rPr>
        <w:t>2007-</w:t>
      </w:r>
      <w:r w:rsidRPr="00EB04EA">
        <w:rPr>
          <w:rFonts w:asciiTheme="majorEastAsia" w:eastAsiaTheme="majorEastAsia" w:hAnsiTheme="majorEastAsia"/>
          <w:lang w:eastAsia="ko-KR"/>
        </w:rPr>
        <w:tab/>
      </w:r>
      <w:r w:rsidRPr="00EB04EA">
        <w:rPr>
          <w:rFonts w:asciiTheme="majorEastAsia" w:eastAsiaTheme="majorEastAsia" w:hAnsiTheme="majorEastAsia"/>
          <w:lang w:eastAsia="ko-KR"/>
        </w:rPr>
        <w:tab/>
        <w:t xml:space="preserve">Full-time lecturer, Assistant, Associate, Full Professor, Electrical Engineering and Computer Science, </w:t>
      </w:r>
      <w:r w:rsidRPr="00EB04EA">
        <w:rPr>
          <w:rFonts w:asciiTheme="majorEastAsia" w:eastAsiaTheme="majorEastAsia" w:hAnsiTheme="majorEastAsia" w:hint="eastAsia"/>
        </w:rPr>
        <w:t>Gwangju Institute of Science and Technology</w:t>
      </w:r>
      <w:r w:rsidRPr="00EB04EA">
        <w:rPr>
          <w:rFonts w:asciiTheme="majorEastAsia" w:eastAsiaTheme="majorEastAsia" w:hAnsiTheme="majorEastAsia"/>
          <w:lang w:eastAsia="ko-KR"/>
        </w:rPr>
        <w:t xml:space="preserve"> </w:t>
      </w:r>
    </w:p>
    <w:p w:rsidR="0008458F" w:rsidRPr="00EB04EA" w:rsidRDefault="00CA553E">
      <w:pPr>
        <w:spacing w:before="240" w:after="0" w:line="240" w:lineRule="auto"/>
        <w:rPr>
          <w:rFonts w:asciiTheme="majorEastAsia" w:eastAsiaTheme="majorEastAsia" w:hAnsiTheme="majorEastAsia"/>
          <w:b/>
          <w:szCs w:val="20"/>
        </w:rPr>
      </w:pPr>
      <w:r w:rsidRPr="00EB04EA">
        <w:rPr>
          <w:rFonts w:asciiTheme="majorEastAsia" w:eastAsiaTheme="majorEastAsia" w:hAnsiTheme="majorEastAsia"/>
          <w:b/>
          <w:szCs w:val="20"/>
        </w:rPr>
        <w:t>Selected Publications (</w:t>
      </w:r>
      <w:r w:rsidRPr="00EB04EA">
        <w:rPr>
          <w:rFonts w:asciiTheme="majorEastAsia" w:eastAsiaTheme="majorEastAsia" w:hAnsiTheme="majorEastAsia"/>
          <w:b/>
          <w:szCs w:val="20"/>
        </w:rPr>
        <w:t>5 maximum)</w:t>
      </w:r>
    </w:p>
    <w:p w:rsidR="0008458F" w:rsidRPr="00EB04EA" w:rsidRDefault="00CA553E">
      <w:pPr>
        <w:pStyle w:val="a4"/>
        <w:widowControl/>
        <w:numPr>
          <w:ilvl w:val="0"/>
          <w:numId w:val="2"/>
        </w:numPr>
        <w:wordWrap/>
        <w:autoSpaceDE/>
        <w:autoSpaceDN/>
        <w:rPr>
          <w:rFonts w:asciiTheme="majorEastAsia" w:eastAsiaTheme="majorEastAsia" w:hAnsiTheme="majorEastAsia"/>
          <w:bCs/>
          <w:color w:val="000000"/>
          <w:kern w:val="0"/>
          <w:szCs w:val="20"/>
        </w:rPr>
      </w:pP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 xml:space="preserve">Yeonghun Lee and Hyunju Lee. Integrative reconstruction of cancer genome karyotypes using InfoGenomeR. Nature Communications, 12:2467, 2021. </w:t>
      </w:r>
    </w:p>
    <w:p w:rsidR="0008458F" w:rsidRPr="00EB04EA" w:rsidRDefault="00CA553E">
      <w:pPr>
        <w:pStyle w:val="a4"/>
        <w:widowControl/>
        <w:numPr>
          <w:ilvl w:val="0"/>
          <w:numId w:val="2"/>
        </w:numPr>
        <w:wordWrap/>
        <w:autoSpaceDE/>
        <w:autoSpaceDN/>
        <w:rPr>
          <w:rFonts w:asciiTheme="majorEastAsia" w:eastAsiaTheme="majorEastAsia" w:hAnsiTheme="majorEastAsia"/>
          <w:bCs/>
          <w:color w:val="000000"/>
          <w:kern w:val="0"/>
          <w:szCs w:val="20"/>
        </w:rPr>
      </w:pP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 xml:space="preserve">Ho Jang </w:t>
      </w:r>
      <w:r w:rsidRPr="00EB04EA">
        <w:rPr>
          <w:rFonts w:asciiTheme="majorEastAsia" w:eastAsiaTheme="majorEastAsia" w:hAnsiTheme="majorEastAsia" w:cs="Arial" w:hint="eastAsia"/>
          <w:color w:val="222222"/>
          <w:szCs w:val="20"/>
          <w:shd w:val="clear" w:color="auto" w:fill="FFFFFF"/>
        </w:rPr>
        <w:t>and</w:t>
      </w: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 xml:space="preserve"> Hyunju Lee</w:t>
      </w:r>
      <w:r w:rsidRPr="00EB04EA">
        <w:rPr>
          <w:rFonts w:asciiTheme="majorEastAsia" w:eastAsiaTheme="majorEastAsia" w:hAnsiTheme="majorEastAsia" w:cs="Arial" w:hint="eastAsia"/>
          <w:color w:val="222222"/>
          <w:szCs w:val="20"/>
          <w:shd w:val="clear" w:color="auto" w:fill="FFFFFF"/>
        </w:rPr>
        <w:t>,</w:t>
      </w: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 xml:space="preserve"> </w:t>
      </w:r>
      <w:r w:rsidRPr="00EB04EA">
        <w:rPr>
          <w:rFonts w:asciiTheme="majorEastAsia" w:eastAsiaTheme="majorEastAsia" w:hAnsiTheme="majorEastAsia" w:cs="Times New Roman"/>
          <w:szCs w:val="20"/>
        </w:rPr>
        <w:t>Multiresolution correction of GC bias and application to identification of copy</w:t>
      </w:r>
      <w:r w:rsidRPr="00EB04EA">
        <w:rPr>
          <w:rFonts w:asciiTheme="majorEastAsia" w:eastAsiaTheme="majorEastAsia" w:hAnsiTheme="majorEastAsia" w:cs="Times New Roman"/>
          <w:szCs w:val="20"/>
        </w:rPr>
        <w:t xml:space="preserve"> number alterations</w:t>
      </w:r>
      <w:r w:rsidRPr="00EB04EA">
        <w:rPr>
          <w:rFonts w:asciiTheme="majorEastAsia" w:eastAsiaTheme="majorEastAsia" w:hAnsiTheme="majorEastAsia"/>
          <w:bCs/>
          <w:color w:val="000000"/>
          <w:kern w:val="0"/>
          <w:szCs w:val="20"/>
        </w:rPr>
        <w:t>, Bioinformatics, 35(20), 2019.</w:t>
      </w:r>
    </w:p>
    <w:p w:rsidR="0008458F" w:rsidRPr="00EB04EA" w:rsidRDefault="00CA553E">
      <w:pPr>
        <w:pStyle w:val="a4"/>
        <w:widowControl/>
        <w:numPr>
          <w:ilvl w:val="0"/>
          <w:numId w:val="2"/>
        </w:numPr>
        <w:wordWrap/>
        <w:autoSpaceDE/>
        <w:autoSpaceDN/>
        <w:rPr>
          <w:rFonts w:asciiTheme="majorEastAsia" w:eastAsiaTheme="majorEastAsia" w:hAnsiTheme="majorEastAsia" w:cs="Times New Roman"/>
          <w:szCs w:val="20"/>
        </w:rPr>
      </w:pPr>
      <w:r w:rsidRPr="00EB04EA">
        <w:rPr>
          <w:rFonts w:asciiTheme="majorEastAsia" w:eastAsiaTheme="majorEastAsia" w:hAnsiTheme="majorEastAsia" w:cs="Times New Roman"/>
          <w:szCs w:val="20"/>
        </w:rPr>
        <w:t xml:space="preserve">Jeongkyun Kim, Jung-jae Kim, and Hyunju Lee, </w:t>
      </w:r>
      <w:hyperlink r:id="rId8" w:history="1">
        <w:r w:rsidRPr="00EB04EA">
          <w:rPr>
            <w:rFonts w:asciiTheme="majorEastAsia" w:eastAsiaTheme="majorEastAsia" w:hAnsiTheme="majorEastAsia" w:cs="Times New Roman"/>
            <w:szCs w:val="20"/>
          </w:rPr>
          <w:t xml:space="preserve">DigChem: Identification of disease-gene-chemical relationships from </w:t>
        </w:r>
        <w:r w:rsidRPr="00EB04EA">
          <w:rPr>
            <w:rFonts w:asciiTheme="majorEastAsia" w:eastAsiaTheme="majorEastAsia" w:hAnsiTheme="majorEastAsia" w:cs="Times New Roman"/>
            <w:szCs w:val="20"/>
          </w:rPr>
          <w:t>Medline abstracts</w:t>
        </w:r>
      </w:hyperlink>
      <w:r w:rsidRPr="00EB04EA">
        <w:rPr>
          <w:rFonts w:asciiTheme="majorEastAsia" w:eastAsiaTheme="majorEastAsia" w:hAnsiTheme="majorEastAsia" w:cs="Times New Roman"/>
          <w:szCs w:val="20"/>
        </w:rPr>
        <w:t>, PLoS Computational Biology 15(5), 2019.</w:t>
      </w:r>
    </w:p>
    <w:p w:rsidR="0008458F" w:rsidRPr="00EB04EA" w:rsidRDefault="00CA553E">
      <w:pPr>
        <w:pStyle w:val="a4"/>
        <w:widowControl/>
        <w:numPr>
          <w:ilvl w:val="0"/>
          <w:numId w:val="2"/>
        </w:numPr>
        <w:wordWrap/>
        <w:autoSpaceDE/>
        <w:autoSpaceDN/>
        <w:rPr>
          <w:rFonts w:asciiTheme="majorEastAsia" w:eastAsiaTheme="majorEastAsia" w:hAnsiTheme="majorEastAsia" w:cs="Times New Roman"/>
          <w:szCs w:val="20"/>
        </w:rPr>
      </w:pPr>
      <w:r w:rsidRPr="00EB04EA">
        <w:rPr>
          <w:rFonts w:asciiTheme="majorEastAsia" w:eastAsiaTheme="majorEastAsia" w:hAnsiTheme="majorEastAsia" w:cs="Times New Roman"/>
          <w:szCs w:val="20"/>
        </w:rPr>
        <w:t>Jihee Soh, Hyejin Cho, Chan-Hun Choi, and Hyunju Lee, Identification and Characterization of MicroRNAs Associated with Somatic Copy Number Alterations in Cancer, Cancers, 10(12):475, 2018.</w:t>
      </w:r>
    </w:p>
    <w:p w:rsidR="0008458F" w:rsidRPr="00EB04EA" w:rsidRDefault="00CA553E">
      <w:pPr>
        <w:pStyle w:val="a4"/>
        <w:widowControl/>
        <w:numPr>
          <w:ilvl w:val="0"/>
          <w:numId w:val="2"/>
        </w:numPr>
        <w:wordWrap/>
        <w:autoSpaceDE/>
        <w:autoSpaceDN/>
        <w:rPr>
          <w:rFonts w:asciiTheme="majorEastAsia" w:eastAsiaTheme="majorEastAsia" w:hAnsiTheme="majorEastAsia" w:cs="Tahoma"/>
        </w:rPr>
      </w:pP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>Bayar</w:t>
      </w: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>baatar Amgalan</w:t>
      </w:r>
      <w:r w:rsidRPr="00EB04EA">
        <w:rPr>
          <w:rFonts w:asciiTheme="majorEastAsia" w:eastAsiaTheme="majorEastAsia" w:hAnsiTheme="majorEastAsia" w:cs="Arial" w:hint="eastAsia"/>
          <w:color w:val="222222"/>
          <w:szCs w:val="20"/>
          <w:shd w:val="clear" w:color="auto" w:fill="FFFFFF"/>
        </w:rPr>
        <w:t xml:space="preserve"> and</w:t>
      </w:r>
      <w:r w:rsidRPr="00EB04EA">
        <w:rPr>
          <w:rFonts w:asciiTheme="majorEastAsia" w:eastAsiaTheme="majorEastAsia" w:hAnsiTheme="majorEastAsia" w:cs="Arial"/>
          <w:color w:val="222222"/>
          <w:szCs w:val="20"/>
          <w:shd w:val="clear" w:color="auto" w:fill="FFFFFF"/>
        </w:rPr>
        <w:t xml:space="preserve"> </w:t>
      </w:r>
      <w:r w:rsidRPr="00EB04EA">
        <w:rPr>
          <w:rFonts w:asciiTheme="majorEastAsia" w:eastAsiaTheme="majorEastAsia" w:hAnsiTheme="majorEastAsia" w:cs="Times New Roman"/>
          <w:szCs w:val="20"/>
        </w:rPr>
        <w:t xml:space="preserve">Hyunju Lee, </w:t>
      </w:r>
      <w:hyperlink r:id="rId9" w:history="1">
        <w:r w:rsidRPr="00EB04EA">
          <w:rPr>
            <w:rFonts w:asciiTheme="majorEastAsia" w:eastAsiaTheme="majorEastAsia" w:hAnsiTheme="majorEastAsia" w:cs="Times New Roman"/>
            <w:szCs w:val="20"/>
          </w:rPr>
          <w:t>DEOD: uncovering dominant effects of cancer-driver genes based on a partial covariance selection method</w:t>
        </w:r>
      </w:hyperlink>
      <w:r w:rsidRPr="00EB04EA">
        <w:rPr>
          <w:rFonts w:asciiTheme="majorEastAsia" w:eastAsiaTheme="majorEastAsia" w:hAnsiTheme="majorEastAsia" w:cs="Times New Roman"/>
          <w:szCs w:val="20"/>
        </w:rPr>
        <w:t>, Bioinformatics, 31(15), 2015.</w:t>
      </w:r>
      <w:r w:rsidRPr="00EB04EA">
        <w:rPr>
          <w:rFonts w:asciiTheme="majorEastAsia" w:eastAsiaTheme="majorEastAsia" w:hAnsiTheme="majorEastAsia" w:cs="Times New Roman"/>
          <w:szCs w:val="20"/>
        </w:rPr>
        <w:t xml:space="preserve"> </w:t>
      </w:r>
      <w:bookmarkEnd w:id="1"/>
    </w:p>
    <w:sectPr w:rsidR="0008458F" w:rsidRPr="00EB04EA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53E" w:rsidRDefault="00CA553E" w:rsidP="00EB04EA">
      <w:pPr>
        <w:spacing w:after="0" w:line="240" w:lineRule="auto"/>
      </w:pPr>
      <w:r>
        <w:separator/>
      </w:r>
    </w:p>
  </w:endnote>
  <w:endnote w:type="continuationSeparator" w:id="0">
    <w:p w:rsidR="00CA553E" w:rsidRDefault="00CA553E" w:rsidP="00EB0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53E" w:rsidRDefault="00CA553E" w:rsidP="00EB04EA">
      <w:pPr>
        <w:spacing w:after="0" w:line="240" w:lineRule="auto"/>
      </w:pPr>
      <w:r>
        <w:separator/>
      </w:r>
    </w:p>
  </w:footnote>
  <w:footnote w:type="continuationSeparator" w:id="0">
    <w:p w:rsidR="00CA553E" w:rsidRDefault="00CA553E" w:rsidP="00EB0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58F"/>
    <w:rsid w:val="0008458F"/>
    <w:rsid w:val="00CA553E"/>
    <w:rsid w:val="00EB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D14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rPr>
      <w:rFonts w:ascii="굴림" w:eastAsia="굴림" w:hAnsi="굴림" w:cs="굴림"/>
      <w:b/>
      <w:bCs/>
      <w:kern w:val="0"/>
      <w:sz w:val="36"/>
      <w:szCs w:val="36"/>
    </w:rPr>
  </w:style>
  <w:style w:type="character" w:styleId="a3">
    <w:name w:val="Emphasis"/>
    <w:basedOn w:val="a0"/>
    <w:qFormat/>
    <w:rPr>
      <w:i/>
      <w:iCs/>
    </w:r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</w:style>
  <w:style w:type="paragraph" w:styleId="a6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styleId="a8">
    <w:name w:val="Hyperlink"/>
    <w:basedOn w:val="a0"/>
    <w:unhideWhenUsed/>
    <w:rPr>
      <w:color w:val="0000FF"/>
      <w:u w:val="single"/>
    </w:rPr>
  </w:style>
  <w:style w:type="paragraph" w:customStyle="1" w:styleId="a9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character" w:customStyle="1" w:styleId="gmaildefault">
    <w:name w:val="gmail_default"/>
    <w:basedOn w:val="a0"/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UnresolvedMention">
    <w:name w:val="Unresolved Mention"/>
    <w:basedOn w:val="a0"/>
    <w:semiHidden/>
    <w:unhideWhenUsed/>
    <w:rPr>
      <w:color w:val="808080"/>
      <w:shd w:val="clear" w:color="auto" w:fill="E6E6E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ploscompbiol/article?id=10.1371/journal.pcbi.10070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cademic.oup.com/bioinformatics/article-abstract/31/15/2452/188317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2023-01-05T02:32:00Z</dcterms:modified>
  <cp:version>0900.0001.01</cp:version>
</cp:coreProperties>
</file>