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0ECD7A" w14:textId="77777777" w:rsidR="00E96C45" w:rsidRPr="00585DC9" w:rsidRDefault="00E96C45" w:rsidP="00E96C45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2FE60407" w14:textId="77777777" w:rsidR="00E96C45" w:rsidRPr="00E96C45" w:rsidRDefault="00E96C45" w:rsidP="00B65124">
      <w:pPr>
        <w:pStyle w:val="Default"/>
        <w:spacing w:line="276" w:lineRule="auto"/>
        <w:jc w:val="center"/>
        <w:rPr>
          <w:rFonts w:ascii="Tahoma" w:eastAsia="나눔바른고딕" w:hAnsi="Tahoma" w:cs="Tahoma"/>
          <w:sz w:val="28"/>
          <w:szCs w:val="36"/>
        </w:rPr>
      </w:pPr>
    </w:p>
    <w:p w14:paraId="56BAA49C" w14:textId="31B60B8E" w:rsidR="00B65124" w:rsidRPr="00E96C45" w:rsidRDefault="00B65124" w:rsidP="00B65124">
      <w:pPr>
        <w:pStyle w:val="Default"/>
        <w:spacing w:line="276" w:lineRule="auto"/>
        <w:jc w:val="center"/>
        <w:rPr>
          <w:rFonts w:ascii="Tahoma" w:eastAsia="나눔바른고딕" w:hAnsi="Tahoma" w:cs="Tahoma"/>
          <w:sz w:val="36"/>
          <w:szCs w:val="36"/>
        </w:rPr>
      </w:pPr>
      <w:r w:rsidRPr="00E96C45">
        <w:rPr>
          <w:rFonts w:ascii="Tahoma" w:eastAsia="나눔바른고딕" w:hAnsi="Tahoma" w:cs="Tahoma"/>
          <w:sz w:val="36"/>
          <w:szCs w:val="36"/>
        </w:rPr>
        <w:t>Single-cell RNA-sequencing analysis of cancer</w:t>
      </w:r>
    </w:p>
    <w:p w14:paraId="5149D6FA" w14:textId="77777777" w:rsidR="00B65124" w:rsidRDefault="00B65124" w:rsidP="00B65124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14:paraId="18C91AA7" w14:textId="77777777" w:rsidR="00B65124" w:rsidRPr="00E96C45" w:rsidRDefault="00B65124" w:rsidP="00B65124">
      <w:pPr>
        <w:pStyle w:val="Default"/>
        <w:spacing w:line="276" w:lineRule="auto"/>
        <w:ind w:firstLine="225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E96C45">
        <w:rPr>
          <w:rFonts w:asciiTheme="majorEastAsia" w:eastAsiaTheme="majorEastAsia" w:hAnsiTheme="majorEastAsia" w:hint="eastAsia"/>
          <w:sz w:val="20"/>
          <w:szCs w:val="20"/>
        </w:rPr>
        <w:t>본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 강좌에서는 최근 각광 받고 있는 단세포 </w:t>
      </w:r>
      <w:proofErr w:type="spellStart"/>
      <w:r w:rsidRPr="00E96C45">
        <w:rPr>
          <w:rFonts w:asciiTheme="majorEastAsia" w:eastAsiaTheme="majorEastAsia" w:hAnsiTheme="majorEastAsia"/>
          <w:sz w:val="20"/>
          <w:szCs w:val="20"/>
        </w:rPr>
        <w:t>전사체</w:t>
      </w:r>
      <w:proofErr w:type="spellEnd"/>
      <w:r w:rsidRPr="00E96C45">
        <w:rPr>
          <w:rFonts w:asciiTheme="majorEastAsia" w:eastAsiaTheme="majorEastAsia" w:hAnsiTheme="majorEastAsia"/>
          <w:sz w:val="20"/>
          <w:szCs w:val="20"/>
        </w:rPr>
        <w:t xml:space="preserve"> 데이터 분석 기술에 대한 소개와 실제 데이터에 대한 분석 실습을 병행하고자 한다. 단세포 </w:t>
      </w:r>
      <w:proofErr w:type="spellStart"/>
      <w:r w:rsidRPr="00E96C45">
        <w:rPr>
          <w:rFonts w:asciiTheme="majorEastAsia" w:eastAsiaTheme="majorEastAsia" w:hAnsiTheme="majorEastAsia"/>
          <w:sz w:val="20"/>
          <w:szCs w:val="20"/>
        </w:rPr>
        <w:t>전사체</w:t>
      </w:r>
      <w:proofErr w:type="spellEnd"/>
      <w:r w:rsidRPr="00E96C45">
        <w:rPr>
          <w:rFonts w:asciiTheme="majorEastAsia" w:eastAsiaTheme="majorEastAsia" w:hAnsiTheme="majorEastAsia"/>
          <w:sz w:val="20"/>
          <w:szCs w:val="20"/>
        </w:rPr>
        <w:t xml:space="preserve"> 분석 기술은 세포의 분화, 암의 진화, 면역세포 프로파일링 및 종양 내 이질성 분석 등에 활용되고 있으며, 관련 기술과 응용 사례에 대한 소개 및 현재 가장 널리 사용되고 있는 10x Genomics사의 Chromium Single Cell Gene Expression Solution을 사용하여 생산된 </w:t>
      </w:r>
      <w:proofErr w:type="spellStart"/>
      <w:r w:rsidRPr="00E96C45">
        <w:rPr>
          <w:rFonts w:asciiTheme="majorEastAsia" w:eastAsiaTheme="majorEastAsia" w:hAnsiTheme="majorEastAsia"/>
          <w:sz w:val="20"/>
          <w:szCs w:val="20"/>
        </w:rPr>
        <w:t>암샘플</w:t>
      </w:r>
      <w:proofErr w:type="spellEnd"/>
      <w:r w:rsidRPr="00E96C45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>단세포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 </w:t>
      </w:r>
      <w:proofErr w:type="spellStart"/>
      <w:r w:rsidRPr="00E96C45">
        <w:rPr>
          <w:rFonts w:asciiTheme="majorEastAsia" w:eastAsiaTheme="majorEastAsia" w:hAnsiTheme="majorEastAsia"/>
          <w:sz w:val="20"/>
          <w:szCs w:val="20"/>
        </w:rPr>
        <w:t>전사체</w:t>
      </w:r>
      <w:proofErr w:type="spellEnd"/>
      <w:r w:rsidRPr="00E96C45">
        <w:rPr>
          <w:rFonts w:asciiTheme="majorEastAsia" w:eastAsiaTheme="majorEastAsia" w:hAnsiTheme="majorEastAsia"/>
          <w:sz w:val="20"/>
          <w:szCs w:val="20"/>
        </w:rPr>
        <w:t xml:space="preserve"> 데이터를 위주로 다양한 분석 방법에 대한 실습을 진행하고자 한다.</w:t>
      </w: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강의는 다음의 내용을 포함한다</w:t>
      </w:r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.</w:t>
      </w:r>
    </w:p>
    <w:p w14:paraId="7610265F" w14:textId="77777777" w:rsidR="00B65124" w:rsidRPr="00E96C45" w:rsidRDefault="00B65124" w:rsidP="00B65124">
      <w:pPr>
        <w:pStyle w:val="Default"/>
        <w:spacing w:line="276" w:lineRule="auto"/>
        <w:ind w:firstLine="225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</w:p>
    <w:p w14:paraId="649D0312" w14:textId="77777777" w:rsidR="00B65124" w:rsidRPr="00E96C45" w:rsidRDefault="00B65124" w:rsidP="00B65124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Single-cell RNA-sequencing(</w:t>
      </w:r>
      <w:proofErr w:type="spellStart"/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scRNA-seq</w:t>
      </w:r>
      <w:proofErr w:type="spellEnd"/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)</w:t>
      </w: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>의 소개 및 개요</w:t>
      </w:r>
    </w:p>
    <w:p w14:paraId="768BAD6A" w14:textId="77777777" w:rsidR="00B65124" w:rsidRPr="00E96C45" w:rsidRDefault="00B65124" w:rsidP="00B65124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암 </w:t>
      </w:r>
      <w:proofErr w:type="spellStart"/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scRNA-seq</w:t>
      </w:r>
      <w:proofErr w:type="spellEnd"/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 xml:space="preserve"> </w:t>
      </w: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>연구 동향</w:t>
      </w:r>
    </w:p>
    <w:p w14:paraId="6788C094" w14:textId="77777777" w:rsidR="00B65124" w:rsidRPr="00E96C45" w:rsidRDefault="00B65124" w:rsidP="00B65124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암 </w:t>
      </w:r>
      <w:proofErr w:type="spellStart"/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>s</w:t>
      </w:r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>cRNA-seq</w:t>
      </w:r>
      <w:proofErr w:type="spellEnd"/>
      <w:r w:rsidRPr="00E96C45">
        <w:rPr>
          <w:rFonts w:asciiTheme="majorEastAsia" w:eastAsiaTheme="majorEastAsia" w:hAnsiTheme="majorEastAsia" w:cs="굴림"/>
          <w:bCs/>
          <w:sz w:val="20"/>
          <w:szCs w:val="20"/>
        </w:rPr>
        <w:t xml:space="preserve"> </w:t>
      </w:r>
      <w:r w:rsidRPr="00E96C45">
        <w:rPr>
          <w:rFonts w:asciiTheme="majorEastAsia" w:eastAsiaTheme="majorEastAsia" w:hAnsiTheme="majorEastAsia" w:cs="굴림" w:hint="eastAsia"/>
          <w:bCs/>
          <w:sz w:val="20"/>
          <w:szCs w:val="20"/>
        </w:rPr>
        <w:t>데이터 분석 실습</w:t>
      </w:r>
    </w:p>
    <w:p w14:paraId="0450DE63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2D702FAB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E96C45">
        <w:rPr>
          <w:rFonts w:asciiTheme="majorEastAsia" w:eastAsiaTheme="majorEastAsia" w:hAnsiTheme="majorEastAsia"/>
          <w:sz w:val="20"/>
          <w:szCs w:val="20"/>
        </w:rPr>
        <w:t>*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>참고강의교재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14:paraId="43E17356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E96C45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>없음</w:t>
      </w:r>
    </w:p>
    <w:p w14:paraId="3B127745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4E76616A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E96C45">
        <w:rPr>
          <w:rFonts w:asciiTheme="majorEastAsia" w:eastAsiaTheme="majorEastAsia" w:hAnsiTheme="majorEastAsia"/>
          <w:sz w:val="20"/>
          <w:szCs w:val="20"/>
        </w:rPr>
        <w:t>*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14:paraId="2E84070F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E96C45">
        <w:rPr>
          <w:rFonts w:asciiTheme="majorEastAsia" w:eastAsiaTheme="majorEastAsia" w:hAnsiTheme="majorEastAsia" w:hint="eastAsia"/>
          <w:sz w:val="20"/>
          <w:szCs w:val="20"/>
        </w:rPr>
        <w:t xml:space="preserve"> 노트북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 (메모리 8GB 이상, 디스크 여유공간 30GB 이상)</w:t>
      </w:r>
    </w:p>
    <w:p w14:paraId="1A0FA557" w14:textId="7E41C9D5" w:rsidR="00B65124" w:rsidRDefault="00B65124" w:rsidP="00B6512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508D5F5A" w14:textId="77777777" w:rsidR="00E96C45" w:rsidRPr="00E708EF" w:rsidRDefault="00E96C45" w:rsidP="00E96C45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14:paraId="3CE8F860" w14:textId="77777777" w:rsidR="00E96C45" w:rsidRPr="00E96C45" w:rsidRDefault="00E96C45" w:rsidP="00B65124">
      <w:pPr>
        <w:pStyle w:val="Default"/>
        <w:spacing w:line="276" w:lineRule="auto"/>
        <w:rPr>
          <w:rFonts w:asciiTheme="majorEastAsia" w:eastAsiaTheme="majorEastAsia" w:hAnsiTheme="majorEastAsia" w:hint="eastAsia"/>
          <w:sz w:val="20"/>
          <w:szCs w:val="20"/>
        </w:rPr>
      </w:pPr>
    </w:p>
    <w:p w14:paraId="6546BABE" w14:textId="77777777" w:rsidR="00B65124" w:rsidRPr="00E96C45" w:rsidRDefault="00B65124" w:rsidP="00B65124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E96C45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E96C45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 xml:space="preserve">이세민 교수 </w:t>
      </w:r>
      <w:r w:rsidRPr="00E96C45">
        <w:rPr>
          <w:rFonts w:asciiTheme="majorEastAsia" w:eastAsiaTheme="majorEastAsia" w:hAnsiTheme="majorEastAsia"/>
          <w:sz w:val="20"/>
          <w:szCs w:val="20"/>
        </w:rPr>
        <w:t>(</w:t>
      </w:r>
      <w:r w:rsidRPr="00E96C45">
        <w:rPr>
          <w:rFonts w:asciiTheme="majorEastAsia" w:eastAsiaTheme="majorEastAsia" w:hAnsiTheme="majorEastAsia" w:hint="eastAsia"/>
          <w:sz w:val="20"/>
          <w:szCs w:val="20"/>
        </w:rPr>
        <w:t xml:space="preserve">울산과학기술원 </w:t>
      </w:r>
      <w:proofErr w:type="spellStart"/>
      <w:r w:rsidRPr="00E96C45">
        <w:rPr>
          <w:rFonts w:asciiTheme="majorEastAsia" w:eastAsiaTheme="majorEastAsia" w:hAnsiTheme="majorEastAsia" w:hint="eastAsia"/>
          <w:sz w:val="20"/>
          <w:szCs w:val="20"/>
        </w:rPr>
        <w:t>바이오메디컬공학과</w:t>
      </w:r>
      <w:proofErr w:type="spellEnd"/>
      <w:r w:rsidRPr="00E96C45">
        <w:rPr>
          <w:rFonts w:asciiTheme="majorEastAsia" w:eastAsiaTheme="majorEastAsia" w:hAnsiTheme="majorEastAsia" w:hint="eastAsia"/>
          <w:sz w:val="20"/>
          <w:szCs w:val="20"/>
        </w:rPr>
        <w:t>)</w:t>
      </w:r>
    </w:p>
    <w:p w14:paraId="65B60F8E" w14:textId="270CEADC" w:rsidR="00B216A1" w:rsidRPr="00E96C45" w:rsidRDefault="008F7CF6">
      <w:pPr>
        <w:rPr>
          <w:rFonts w:asciiTheme="majorEastAsia" w:eastAsiaTheme="majorEastAsia" w:hAnsiTheme="majorEastAsia"/>
          <w:szCs w:val="20"/>
        </w:rPr>
      </w:pPr>
      <w:r w:rsidRPr="00E96C45">
        <w:rPr>
          <w:rFonts w:asciiTheme="majorEastAsia" w:eastAsiaTheme="majorEastAsia" w:hAnsiTheme="majorEastAsia"/>
          <w:szCs w:val="20"/>
        </w:rPr>
        <w:br w:type="page"/>
      </w:r>
    </w:p>
    <w:p w14:paraId="2B41226D" w14:textId="77777777" w:rsidR="004D331D" w:rsidRDefault="004D331D" w:rsidP="004D331D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7CD26A43" w14:textId="77777777" w:rsidR="004D331D" w:rsidRDefault="004D331D" w:rsidP="004D331D">
      <w:pPr>
        <w:spacing w:after="0"/>
        <w:rPr>
          <w:rFonts w:ascii="Tahoma" w:eastAsia="나눔바른고딕" w:hAnsi="Tahoma" w:cs="Tahoma"/>
          <w:b/>
          <w:sz w:val="22"/>
        </w:rPr>
      </w:pPr>
    </w:p>
    <w:p w14:paraId="2F439529" w14:textId="77777777" w:rsidR="004D331D" w:rsidRDefault="004D331D" w:rsidP="004D331D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EE026E4" wp14:editId="46736EC2">
                <wp:simplePos x="0" y="0"/>
                <wp:positionH relativeFrom="column">
                  <wp:posOffset>-95249</wp:posOffset>
                </wp:positionH>
                <wp:positionV relativeFrom="paragraph">
                  <wp:posOffset>208915</wp:posOffset>
                </wp:positionV>
                <wp:extent cx="1238250" cy="1562100"/>
                <wp:effectExtent l="0" t="0" r="19050" b="1905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3825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71954" w14:textId="77777777" w:rsidR="004D331D" w:rsidRDefault="004D331D" w:rsidP="004D331D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8037219" wp14:editId="673D06F7">
                                  <wp:extent cx="1133475" cy="1619250"/>
                                  <wp:effectExtent l="0" t="0" r="9525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33475" cy="161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026E4" id="shape1035" o:spid="_x0000_s1026" style="position:absolute;left:0;text-align:left;margin-left:-7.5pt;margin-top:16.45pt;width:97.5pt;height:12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" fillcolor="white [3201]" strokeweight="1.5pt">
                <v:path arrowok="t"/>
                <v:textbox>
                  <w:txbxContent>
                    <w:p w14:paraId="25271954" w14:textId="77777777" w:rsidR="004D331D" w:rsidRDefault="004D331D" w:rsidP="004D331D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8037219" wp14:editId="673D06F7">
                            <wp:extent cx="1133475" cy="1619250"/>
                            <wp:effectExtent l="0" t="0" r="9525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33475" cy="161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Semin Lee, Ph.D.</w:t>
      </w:r>
    </w:p>
    <w:p w14:paraId="4EBE1372" w14:textId="77777777" w:rsidR="004D331D" w:rsidRDefault="004D331D" w:rsidP="004D331D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14:paraId="6CFCD62D" w14:textId="77777777" w:rsidR="004D331D" w:rsidRDefault="004D331D" w:rsidP="004D331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>Semin Lee</w:t>
      </w:r>
    </w:p>
    <w:p w14:paraId="3AB16D6A" w14:textId="77777777" w:rsidR="004D331D" w:rsidRDefault="004D331D" w:rsidP="004D331D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Associate Professor</w:t>
      </w:r>
    </w:p>
    <w:p w14:paraId="43BF5918" w14:textId="77777777" w:rsidR="004D331D" w:rsidRDefault="004D331D" w:rsidP="004D331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Ulsan National Institute of Science and Technology</w:t>
      </w:r>
    </w:p>
    <w:p w14:paraId="1EC9C28A" w14:textId="77777777" w:rsidR="004D331D" w:rsidRDefault="004D331D" w:rsidP="004D331D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14:paraId="3D38F349" w14:textId="77777777" w:rsidR="004D331D" w:rsidRDefault="004D331D" w:rsidP="004D331D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  <w:t>UNIST-</w:t>
      </w:r>
      <w:proofErr w:type="spellStart"/>
      <w:r>
        <w:rPr>
          <w:rFonts w:eastAsiaTheme="minorHAnsi"/>
          <w:szCs w:val="20"/>
        </w:rPr>
        <w:t>gil</w:t>
      </w:r>
      <w:proofErr w:type="spellEnd"/>
      <w:r>
        <w:rPr>
          <w:rFonts w:eastAsiaTheme="minorHAnsi"/>
          <w:szCs w:val="20"/>
        </w:rPr>
        <w:t xml:space="preserve"> 50, </w:t>
      </w:r>
      <w:proofErr w:type="spellStart"/>
      <w:r>
        <w:rPr>
          <w:rFonts w:eastAsiaTheme="minorHAnsi"/>
          <w:szCs w:val="20"/>
        </w:rPr>
        <w:t>Bldg</w:t>
      </w:r>
      <w:proofErr w:type="spellEnd"/>
      <w:r>
        <w:rPr>
          <w:rFonts w:eastAsiaTheme="minorHAnsi"/>
          <w:szCs w:val="20"/>
        </w:rPr>
        <w:t xml:space="preserve"> #110, Room #301-7, Ulsan, 44919</w:t>
      </w:r>
    </w:p>
    <w:p w14:paraId="4CDA187A" w14:textId="77777777" w:rsidR="004D331D" w:rsidRDefault="004D331D" w:rsidP="004D331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seminlee@unist.ac.kr</w:t>
      </w:r>
    </w:p>
    <w:p w14:paraId="57A265B8" w14:textId="77777777" w:rsidR="004D331D" w:rsidRDefault="004D331D" w:rsidP="004D331D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E87A645" wp14:editId="15029C8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F7B1D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" strokeweight="1.25pt"/>
            </w:pict>
          </mc:Fallback>
        </mc:AlternateContent>
      </w:r>
    </w:p>
    <w:p w14:paraId="0C2535AA" w14:textId="77777777" w:rsidR="004D331D" w:rsidRPr="00E96C45" w:rsidRDefault="004D331D" w:rsidP="004D331D">
      <w:pPr>
        <w:spacing w:after="0" w:line="240" w:lineRule="auto"/>
        <w:rPr>
          <w:rFonts w:eastAsiaTheme="minorHAnsi"/>
          <w:szCs w:val="20"/>
        </w:rPr>
      </w:pPr>
      <w:bookmarkStart w:id="0" w:name="_GoBack"/>
      <w:r w:rsidRPr="00E96C45">
        <w:rPr>
          <w:rFonts w:eastAsiaTheme="minorHAnsi"/>
          <w:b/>
          <w:szCs w:val="20"/>
        </w:rPr>
        <w:t xml:space="preserve">Research interest : </w:t>
      </w:r>
      <w:r w:rsidRPr="00E96C45">
        <w:rPr>
          <w:rFonts w:eastAsiaTheme="minorHAnsi"/>
          <w:szCs w:val="20"/>
        </w:rPr>
        <w:t>Cancer genomics &amp; single-cell genomics</w:t>
      </w:r>
    </w:p>
    <w:p w14:paraId="2E786B4A" w14:textId="77777777" w:rsidR="004D331D" w:rsidRPr="00E96C45" w:rsidRDefault="004D331D" w:rsidP="004D331D">
      <w:pPr>
        <w:spacing w:after="0" w:line="240" w:lineRule="auto"/>
        <w:rPr>
          <w:rFonts w:eastAsiaTheme="minorHAnsi"/>
          <w:b/>
          <w:szCs w:val="20"/>
        </w:rPr>
      </w:pPr>
      <w:r w:rsidRPr="00E96C45">
        <w:rPr>
          <w:rFonts w:eastAsiaTheme="minorHAnsi"/>
          <w:b/>
          <w:szCs w:val="20"/>
        </w:rPr>
        <w:t>Educational Experience</w:t>
      </w:r>
    </w:p>
    <w:p w14:paraId="5CB8C8E7" w14:textId="77777777" w:rsidR="004D331D" w:rsidRPr="00E96C45" w:rsidRDefault="004D331D" w:rsidP="004D331D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E96C45">
        <w:rPr>
          <w:rFonts w:asciiTheme="minorHAnsi" w:eastAsiaTheme="minorHAnsi" w:hAnsiTheme="minorHAnsi"/>
          <w:lang w:eastAsia="ko-KR"/>
        </w:rPr>
        <w:t>2003</w:t>
      </w:r>
      <w:r w:rsidRPr="00E96C45">
        <w:rPr>
          <w:rFonts w:asciiTheme="minorHAnsi" w:eastAsiaTheme="minorHAnsi" w:hAnsiTheme="minorHAnsi"/>
          <w:color w:val="0070C0"/>
        </w:rPr>
        <w:t xml:space="preserve"> </w:t>
      </w:r>
      <w:r w:rsidRPr="00E96C45">
        <w:rPr>
          <w:rFonts w:asciiTheme="minorHAnsi" w:eastAsiaTheme="minorHAnsi" w:hAnsiTheme="minorHAnsi"/>
          <w:b/>
          <w:color w:val="0070C0"/>
        </w:rPr>
        <w:tab/>
      </w:r>
      <w:r w:rsidRPr="00E96C45">
        <w:rPr>
          <w:rFonts w:asciiTheme="minorHAnsi" w:eastAsiaTheme="minorHAnsi" w:hAnsiTheme="minorHAnsi"/>
          <w:b/>
          <w:color w:val="0070C0"/>
        </w:rPr>
        <w:tab/>
      </w:r>
      <w:r w:rsidRPr="00E96C45">
        <w:rPr>
          <w:rFonts w:asciiTheme="minorHAnsi" w:eastAsiaTheme="minorHAnsi" w:hAnsiTheme="minorHAnsi"/>
        </w:rPr>
        <w:t>B.S.</w:t>
      </w:r>
      <w:r w:rsidRPr="00E96C45">
        <w:rPr>
          <w:rFonts w:asciiTheme="minorHAnsi" w:eastAsiaTheme="minorHAnsi" w:hAnsiTheme="minorHAnsi"/>
          <w:lang w:eastAsia="ko-KR"/>
        </w:rPr>
        <w:t xml:space="preserve"> in Biological Sciences, </w:t>
      </w:r>
      <w:r w:rsidRPr="00E96C45">
        <w:rPr>
          <w:rFonts w:asciiTheme="minorHAnsi" w:eastAsiaTheme="minorHAnsi" w:hAnsiTheme="minorHAnsi"/>
        </w:rPr>
        <w:t>Seoul National University</w:t>
      </w:r>
      <w:r w:rsidRPr="00E96C45">
        <w:rPr>
          <w:rFonts w:asciiTheme="minorHAnsi" w:eastAsiaTheme="minorHAnsi" w:hAnsiTheme="minorHAnsi"/>
          <w:lang w:eastAsia="ko-KR"/>
        </w:rPr>
        <w:t>, Korea</w:t>
      </w:r>
    </w:p>
    <w:p w14:paraId="380029A6" w14:textId="77777777" w:rsidR="004D331D" w:rsidRPr="00E96C45" w:rsidRDefault="004D331D" w:rsidP="004D331D">
      <w:pPr>
        <w:pStyle w:val="DataField10pt"/>
        <w:rPr>
          <w:rFonts w:asciiTheme="minorHAnsi" w:eastAsiaTheme="minorHAnsi" w:hAnsiTheme="minorHAnsi"/>
          <w:lang w:eastAsia="ko-KR"/>
        </w:rPr>
      </w:pPr>
      <w:r w:rsidRPr="00E96C45">
        <w:rPr>
          <w:rFonts w:asciiTheme="minorHAnsi" w:eastAsiaTheme="minorHAnsi" w:hAnsiTheme="minorHAnsi"/>
          <w:lang w:eastAsia="ko-KR"/>
        </w:rPr>
        <w:t>2004</w:t>
      </w:r>
      <w:r w:rsidRPr="00E96C45">
        <w:rPr>
          <w:rFonts w:asciiTheme="minorHAnsi" w:eastAsiaTheme="minorHAnsi" w:hAnsiTheme="minorHAnsi"/>
        </w:rPr>
        <w:t xml:space="preserve"> </w:t>
      </w:r>
      <w:r w:rsidRPr="00E96C45">
        <w:rPr>
          <w:rFonts w:asciiTheme="minorHAnsi" w:eastAsiaTheme="minorHAnsi" w:hAnsiTheme="minorHAnsi"/>
          <w:lang w:eastAsia="ko-KR"/>
        </w:rPr>
        <w:tab/>
      </w:r>
      <w:r w:rsidRPr="00E96C45">
        <w:rPr>
          <w:rFonts w:asciiTheme="minorHAnsi" w:eastAsiaTheme="minorHAnsi" w:hAnsiTheme="minorHAnsi"/>
          <w:lang w:eastAsia="ko-KR"/>
        </w:rPr>
        <w:tab/>
        <w:t xml:space="preserve">M.S. in Bioinformatics, </w:t>
      </w:r>
      <w:r w:rsidRPr="00E96C45">
        <w:rPr>
          <w:rFonts w:asciiTheme="minorHAnsi" w:eastAsiaTheme="minorHAnsi" w:hAnsiTheme="minorHAnsi" w:hint="eastAsia"/>
        </w:rPr>
        <w:t>K</w:t>
      </w:r>
      <w:r w:rsidRPr="00E96C45">
        <w:rPr>
          <w:rFonts w:asciiTheme="minorHAnsi" w:eastAsiaTheme="minorHAnsi" w:hAnsiTheme="minorHAnsi"/>
        </w:rPr>
        <w:t>AIST</w:t>
      </w:r>
      <w:r w:rsidRPr="00E96C45">
        <w:rPr>
          <w:rFonts w:asciiTheme="minorHAnsi" w:eastAsiaTheme="minorHAnsi" w:hAnsiTheme="minorHAnsi"/>
          <w:lang w:eastAsia="ko-KR"/>
        </w:rPr>
        <w:t>, Korea</w:t>
      </w:r>
    </w:p>
    <w:p w14:paraId="794A9613" w14:textId="77777777" w:rsidR="004D331D" w:rsidRPr="00E96C45" w:rsidRDefault="004D331D" w:rsidP="004D331D">
      <w:pPr>
        <w:pStyle w:val="DataField10pt"/>
        <w:rPr>
          <w:rFonts w:asciiTheme="minorHAnsi" w:eastAsiaTheme="minorHAnsi" w:hAnsiTheme="minorHAnsi"/>
          <w:lang w:eastAsia="ko-KR"/>
        </w:rPr>
      </w:pPr>
      <w:r w:rsidRPr="00E96C45">
        <w:rPr>
          <w:rFonts w:asciiTheme="minorHAnsi" w:eastAsiaTheme="minorHAnsi" w:hAnsiTheme="minorHAnsi"/>
          <w:lang w:eastAsia="ko-KR"/>
        </w:rPr>
        <w:t xml:space="preserve">2007 </w:t>
      </w:r>
      <w:r w:rsidRPr="00E96C45">
        <w:rPr>
          <w:rFonts w:asciiTheme="minorHAnsi" w:eastAsiaTheme="minorHAnsi" w:hAnsiTheme="minorHAnsi"/>
          <w:lang w:eastAsia="ko-KR"/>
        </w:rPr>
        <w:tab/>
      </w:r>
      <w:r w:rsidRPr="00E96C45">
        <w:rPr>
          <w:rFonts w:asciiTheme="minorHAnsi" w:eastAsiaTheme="minorHAnsi" w:hAnsiTheme="minorHAnsi"/>
          <w:lang w:eastAsia="ko-KR"/>
        </w:rPr>
        <w:tab/>
        <w:t xml:space="preserve">Ph.D. in Bioinformatics, </w:t>
      </w:r>
      <w:r w:rsidRPr="00E96C45">
        <w:rPr>
          <w:rFonts w:asciiTheme="minorHAnsi" w:eastAsiaTheme="minorHAnsi" w:hAnsiTheme="minorHAnsi" w:hint="eastAsia"/>
        </w:rPr>
        <w:t>U</w:t>
      </w:r>
      <w:r w:rsidRPr="00E96C45">
        <w:rPr>
          <w:rFonts w:asciiTheme="minorHAnsi" w:eastAsiaTheme="minorHAnsi" w:hAnsiTheme="minorHAnsi"/>
        </w:rPr>
        <w:t>niversity of Cambridge</w:t>
      </w:r>
      <w:r w:rsidRPr="00E96C45">
        <w:rPr>
          <w:rFonts w:asciiTheme="minorHAnsi" w:eastAsiaTheme="minorHAnsi" w:hAnsiTheme="minorHAnsi"/>
          <w:lang w:eastAsia="ko-KR"/>
        </w:rPr>
        <w:t>, UK</w:t>
      </w:r>
    </w:p>
    <w:p w14:paraId="3D6C4FC3" w14:textId="77777777" w:rsidR="004D331D" w:rsidRPr="00E96C45" w:rsidRDefault="004D331D" w:rsidP="004D331D">
      <w:pPr>
        <w:spacing w:after="0" w:line="240" w:lineRule="auto"/>
        <w:rPr>
          <w:rFonts w:eastAsiaTheme="minorHAnsi"/>
          <w:b/>
          <w:szCs w:val="20"/>
        </w:rPr>
      </w:pPr>
    </w:p>
    <w:p w14:paraId="7F3CC53A" w14:textId="77777777" w:rsidR="004D331D" w:rsidRPr="00E96C45" w:rsidRDefault="004D331D" w:rsidP="004D331D">
      <w:pPr>
        <w:spacing w:after="0" w:line="240" w:lineRule="auto"/>
        <w:rPr>
          <w:rFonts w:eastAsiaTheme="minorHAnsi"/>
          <w:b/>
          <w:szCs w:val="20"/>
        </w:rPr>
      </w:pPr>
      <w:r w:rsidRPr="00E96C45">
        <w:rPr>
          <w:rFonts w:eastAsiaTheme="minorHAnsi"/>
          <w:b/>
          <w:szCs w:val="20"/>
        </w:rPr>
        <w:t>Professional Experience</w:t>
      </w:r>
    </w:p>
    <w:p w14:paraId="596736A8" w14:textId="77777777" w:rsidR="004D331D" w:rsidRPr="00E96C45" w:rsidRDefault="004D331D" w:rsidP="004D331D">
      <w:pPr>
        <w:pStyle w:val="a7"/>
        <w:wordWrap/>
        <w:spacing w:line="240" w:lineRule="auto"/>
        <w:ind w:left="1600" w:hangingChars="800" w:hanging="1600"/>
        <w:rPr>
          <w:rFonts w:asciiTheme="minorHAnsi" w:eastAsiaTheme="minorHAnsi" w:hAnsiTheme="minorHAnsi"/>
        </w:rPr>
      </w:pPr>
      <w:r w:rsidRPr="00E96C45">
        <w:rPr>
          <w:rFonts w:asciiTheme="minorHAnsi" w:eastAsiaTheme="minorHAnsi" w:hAnsiTheme="minorHAnsi"/>
        </w:rPr>
        <w:t>2011-2016</w:t>
      </w:r>
      <w:r w:rsidRPr="00E96C45">
        <w:rPr>
          <w:rFonts w:asciiTheme="minorHAnsi" w:eastAsiaTheme="minorHAnsi" w:hAnsiTheme="minorHAnsi"/>
        </w:rPr>
        <w:tab/>
      </w:r>
      <w:r w:rsidRPr="00E96C45">
        <w:rPr>
          <w:rFonts w:asciiTheme="minorHAnsi" w:eastAsiaTheme="minorHAnsi" w:hAnsiTheme="minorHAnsi" w:cs="Arial" w:hint="eastAsia"/>
        </w:rPr>
        <w:t>R</w:t>
      </w:r>
      <w:r w:rsidRPr="00E96C45">
        <w:rPr>
          <w:rFonts w:asciiTheme="minorHAnsi" w:eastAsiaTheme="minorHAnsi" w:hAnsiTheme="minorHAnsi" w:cs="Arial"/>
        </w:rPr>
        <w:t>esearch Fellow</w:t>
      </w:r>
      <w:r w:rsidRPr="00E96C45">
        <w:rPr>
          <w:rFonts w:asciiTheme="minorHAnsi" w:eastAsiaTheme="minorHAnsi" w:hAnsiTheme="minorHAnsi"/>
        </w:rPr>
        <w:t xml:space="preserve">, </w:t>
      </w:r>
      <w:r w:rsidRPr="00E96C45">
        <w:rPr>
          <w:rFonts w:asciiTheme="minorHAnsi" w:eastAsiaTheme="minorHAnsi" w:hAnsiTheme="minorHAnsi" w:cs="Arial" w:hint="eastAsia"/>
        </w:rPr>
        <w:t>D</w:t>
      </w:r>
      <w:r w:rsidRPr="00E96C45">
        <w:rPr>
          <w:rFonts w:asciiTheme="minorHAnsi" w:eastAsiaTheme="minorHAnsi" w:hAnsiTheme="minorHAnsi" w:cs="Arial"/>
        </w:rPr>
        <w:t xml:space="preserve">epartment of Biomedical Informatics, </w:t>
      </w:r>
      <w:r w:rsidRPr="00E96C45">
        <w:rPr>
          <w:rFonts w:asciiTheme="minorHAnsi" w:eastAsiaTheme="minorHAnsi" w:hAnsiTheme="minorHAnsi" w:cs="Arial" w:hint="eastAsia"/>
        </w:rPr>
        <w:t>H</w:t>
      </w:r>
      <w:r w:rsidRPr="00E96C45">
        <w:rPr>
          <w:rFonts w:asciiTheme="minorHAnsi" w:eastAsiaTheme="minorHAnsi" w:hAnsiTheme="minorHAnsi" w:cs="Arial"/>
        </w:rPr>
        <w:t>arvard Medical School</w:t>
      </w:r>
      <w:r w:rsidRPr="00E96C45">
        <w:rPr>
          <w:rFonts w:asciiTheme="minorHAnsi" w:eastAsiaTheme="minorHAnsi" w:hAnsiTheme="minorHAnsi" w:cs="Arial"/>
        </w:rPr>
        <w:br/>
        <w:t>USA</w:t>
      </w:r>
    </w:p>
    <w:p w14:paraId="67A8BD25" w14:textId="77777777" w:rsidR="004D331D" w:rsidRPr="00E96C45" w:rsidRDefault="004D331D" w:rsidP="004D331D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 w:rsidRPr="00E96C45">
        <w:rPr>
          <w:rFonts w:asciiTheme="minorHAnsi" w:eastAsiaTheme="minorHAnsi" w:hAnsiTheme="minorHAnsi"/>
          <w:lang w:eastAsia="ko-KR"/>
        </w:rPr>
        <w:t>2016-</w:t>
      </w:r>
      <w:r w:rsidRPr="00E96C45">
        <w:rPr>
          <w:rFonts w:asciiTheme="minorHAnsi" w:eastAsiaTheme="minorHAnsi" w:hAnsiTheme="minorHAnsi"/>
          <w:lang w:eastAsia="ko-KR"/>
        </w:rPr>
        <w:tab/>
      </w:r>
      <w:r w:rsidRPr="00E96C45">
        <w:rPr>
          <w:rFonts w:asciiTheme="minorHAnsi" w:eastAsiaTheme="minorHAnsi" w:hAnsiTheme="minorHAnsi"/>
          <w:lang w:eastAsia="ko-KR"/>
        </w:rPr>
        <w:tab/>
        <w:t>Associate Professor, Department of Biomedical Engineering, UNIST, Korea</w:t>
      </w:r>
    </w:p>
    <w:p w14:paraId="2975A78A" w14:textId="77777777" w:rsidR="004D331D" w:rsidRPr="00E96C45" w:rsidRDefault="004D331D" w:rsidP="004D331D">
      <w:pPr>
        <w:spacing w:before="240" w:after="0" w:line="240" w:lineRule="auto"/>
        <w:rPr>
          <w:rFonts w:eastAsiaTheme="minorHAnsi"/>
          <w:b/>
          <w:szCs w:val="20"/>
        </w:rPr>
      </w:pPr>
      <w:r w:rsidRPr="00E96C45">
        <w:rPr>
          <w:rFonts w:eastAsiaTheme="minorHAnsi"/>
          <w:b/>
          <w:szCs w:val="20"/>
        </w:rPr>
        <w:t>Selected Publications (5 maximum)</w:t>
      </w:r>
    </w:p>
    <w:p w14:paraId="21A92DA7" w14:textId="77777777" w:rsidR="004D331D" w:rsidRPr="00E96C45" w:rsidRDefault="004D331D" w:rsidP="004D331D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E96C45">
        <w:rPr>
          <w:rFonts w:eastAsiaTheme="minorHAnsi" w:cs="Times New Roman"/>
          <w:szCs w:val="20"/>
        </w:rPr>
        <w:t xml:space="preserve">Ji </w:t>
      </w:r>
      <w:proofErr w:type="spellStart"/>
      <w:r w:rsidRPr="00E96C45">
        <w:rPr>
          <w:rFonts w:eastAsiaTheme="minorHAnsi" w:cs="Times New Roman"/>
          <w:szCs w:val="20"/>
        </w:rPr>
        <w:t>Hoon</w:t>
      </w:r>
      <w:proofErr w:type="spellEnd"/>
      <w:r w:rsidRPr="00E96C45">
        <w:rPr>
          <w:rFonts w:eastAsiaTheme="minorHAnsi" w:cs="Times New Roman"/>
          <w:szCs w:val="20"/>
        </w:rPr>
        <w:t xml:space="preserve"> Phi, Ae Kyung Park, Semin Lee, et al.</w:t>
      </w:r>
      <w:r w:rsidRPr="00E96C45">
        <w:rPr>
          <w:rFonts w:eastAsiaTheme="minorHAnsi"/>
          <w:sz w:val="22"/>
          <w:szCs w:val="24"/>
        </w:rPr>
        <w:t xml:space="preserve"> </w:t>
      </w:r>
      <w:r w:rsidRPr="00E96C45">
        <w:rPr>
          <w:rFonts w:eastAsiaTheme="minorHAnsi" w:cs="Times New Roman"/>
          <w:szCs w:val="20"/>
        </w:rPr>
        <w:t xml:space="preserve">Genomic analysis reveals secondary glioblastoma after radiotherapy in a subset of recurrent </w:t>
      </w:r>
      <w:proofErr w:type="spellStart"/>
      <w:r w:rsidRPr="00E96C45">
        <w:rPr>
          <w:rFonts w:eastAsiaTheme="minorHAnsi" w:cs="Times New Roman"/>
          <w:szCs w:val="20"/>
        </w:rPr>
        <w:t>medulloblastomas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, </w:t>
      </w: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Acta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 </w:t>
      </w: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Neuropathologica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>, 2018, Jun;135(6):939-953.</w:t>
      </w:r>
    </w:p>
    <w:p w14:paraId="7249354F" w14:textId="77777777" w:rsidR="004D331D" w:rsidRPr="00E96C45" w:rsidRDefault="004D331D" w:rsidP="004D331D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E96C45">
        <w:rPr>
          <w:rFonts w:eastAsiaTheme="minorHAnsi"/>
          <w:bCs/>
          <w:color w:val="000000"/>
          <w:kern w:val="0"/>
          <w:szCs w:val="20"/>
        </w:rPr>
        <w:t>Cancer Genome Atlas Research Network. Integrated genomic and molecular characterization of cervical cancer. Nature. 2017 Jan 23.</w:t>
      </w:r>
    </w:p>
    <w:p w14:paraId="7D8F0923" w14:textId="77777777" w:rsidR="004D331D" w:rsidRPr="00E96C45" w:rsidRDefault="004D331D" w:rsidP="004D331D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E96C45">
        <w:rPr>
          <w:rFonts w:eastAsiaTheme="minorHAnsi"/>
          <w:bCs/>
          <w:color w:val="000000"/>
          <w:kern w:val="0"/>
          <w:szCs w:val="20"/>
        </w:rPr>
        <w:t>Xi R, Lee S, Xia Y, Kim TM, Park PJ. Copy number analysis of whole-genome data using BIC-seq2 and its application to detection of cancer susceptibility variants. Nucleic Acids Res. 2016 Jul 27;44(13):6274-86.</w:t>
      </w:r>
    </w:p>
    <w:p w14:paraId="735E8437" w14:textId="77777777" w:rsidR="004D331D" w:rsidRPr="00E96C45" w:rsidRDefault="004D331D" w:rsidP="004D331D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eastAsiaTheme="minorHAnsi"/>
          <w:bCs/>
          <w:color w:val="000000"/>
          <w:kern w:val="0"/>
          <w:szCs w:val="20"/>
        </w:rPr>
      </w:pP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Lodato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 MA, Woodworth MB, Lee S, </w:t>
      </w: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Evrony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 GD, Mehta BK, Karger A, Lee S, Chittenden TW, </w:t>
      </w: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Cai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 X, </w:t>
      </w:r>
      <w:proofErr w:type="spellStart"/>
      <w:r w:rsidRPr="00E96C45">
        <w:rPr>
          <w:rFonts w:eastAsiaTheme="minorHAnsi"/>
          <w:bCs/>
          <w:color w:val="000000"/>
          <w:kern w:val="0"/>
          <w:szCs w:val="20"/>
        </w:rPr>
        <w:t>Luquette</w:t>
      </w:r>
      <w:proofErr w:type="spellEnd"/>
      <w:r w:rsidRPr="00E96C45">
        <w:rPr>
          <w:rFonts w:eastAsiaTheme="minorHAnsi"/>
          <w:bCs/>
          <w:color w:val="000000"/>
          <w:kern w:val="0"/>
          <w:szCs w:val="20"/>
        </w:rPr>
        <w:t xml:space="preserve"> LJ, Lee E, Park PJ, Walsh CA. Mosaic Mutations Trace Developmental and Transcriptional Histories of Single Human Neurons. Science. 2015 Oct 2;350(6256):94-8. </w:t>
      </w:r>
    </w:p>
    <w:p w14:paraId="0C031F9B" w14:textId="77777777" w:rsidR="004D331D" w:rsidRPr="00E96C45" w:rsidRDefault="004D331D" w:rsidP="004D331D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 w:cs="Tahoma"/>
        </w:rPr>
      </w:pPr>
      <w:r w:rsidRPr="00E96C45">
        <w:rPr>
          <w:rFonts w:eastAsiaTheme="minorHAnsi"/>
          <w:bCs/>
          <w:color w:val="000000"/>
          <w:kern w:val="0"/>
          <w:szCs w:val="20"/>
        </w:rPr>
        <w:t xml:space="preserve"> Cancer Genome Atlas Research Network. Comprehensive molecular characterization of human colon and rectal cancer. Nature. 2012 Jul 18;487(7407):330-7.</w:t>
      </w:r>
    </w:p>
    <w:bookmarkEnd w:id="0"/>
    <w:p w14:paraId="33003DE0" w14:textId="02918C90" w:rsidR="00ED26EA" w:rsidRPr="0076292A" w:rsidRDefault="00ED26EA" w:rsidP="0076292A">
      <w:pPr>
        <w:widowControl/>
        <w:wordWrap/>
        <w:autoSpaceDE/>
        <w:autoSpaceDN/>
        <w:rPr>
          <w:rFonts w:asciiTheme="majorHAnsi" w:eastAsiaTheme="majorHAnsi" w:hAnsiTheme="majorHAnsi" w:cs="Times New Roman"/>
          <w:szCs w:val="20"/>
        </w:rPr>
      </w:pPr>
    </w:p>
    <w:sectPr w:rsidR="00ED26EA" w:rsidRPr="0076292A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7C4"/>
    <w:multiLevelType w:val="hybridMultilevel"/>
    <w:tmpl w:val="7D18849C"/>
    <w:lvl w:ilvl="0" w:tplc="F0162FAE">
      <w:start w:val="2016"/>
      <w:numFmt w:val="bullet"/>
      <w:lvlText w:val=""/>
      <w:lvlJc w:val="left"/>
      <w:pPr>
        <w:ind w:left="585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307207"/>
    <w:rsid w:val="003909D5"/>
    <w:rsid w:val="00450902"/>
    <w:rsid w:val="004D331D"/>
    <w:rsid w:val="0076292A"/>
    <w:rsid w:val="008F7CF6"/>
    <w:rsid w:val="00AE437A"/>
    <w:rsid w:val="00B216A1"/>
    <w:rsid w:val="00B65124"/>
    <w:rsid w:val="00E96C45"/>
    <w:rsid w:val="00ED26EA"/>
    <w:rsid w:val="00FD79E3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2022-01-27T06:41:00Z</dcterms:created>
  <dcterms:modified xsi:type="dcterms:W3CDTF">2023-01-05T02:37:00Z</dcterms:modified>
  <cp:version>0900.0001.01</cp:version>
</cp:coreProperties>
</file>