
<file path=[Content_Types].xml><?xml version="1.0" encoding="utf-8"?>
<Types xmlns="http://schemas.openxmlformats.org/package/2006/content-types">
  <Default Extension="emf" ContentType="image/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ABB" w:rsidRPr="00585DC9" w:rsidRDefault="006F3ABB" w:rsidP="006F3ABB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CB3291" w:rsidRPr="006F3ABB" w:rsidRDefault="00CB3291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32"/>
          <w:szCs w:val="32"/>
        </w:rPr>
      </w:pPr>
    </w:p>
    <w:p w:rsidR="00CB3291" w:rsidRPr="006F3ABB" w:rsidRDefault="001E001B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36"/>
          <w:szCs w:val="36"/>
        </w:rPr>
      </w:pPr>
      <w:bookmarkStart w:id="0" w:name="OLE_LINK5"/>
      <w:r w:rsidRPr="006F3ABB">
        <w:rPr>
          <w:rFonts w:ascii="Tahoma" w:eastAsia="나눔바른고딕" w:hAnsi="Tahoma" w:cs="Tahoma"/>
          <w:sz w:val="36"/>
          <w:szCs w:val="36"/>
        </w:rPr>
        <w:t xml:space="preserve">Bioinformatics and AI for </w:t>
      </w:r>
      <w:r w:rsidRPr="006F3ABB">
        <w:rPr>
          <w:rFonts w:ascii="Tahoma" w:eastAsia="나눔바른고딕" w:hAnsi="Tahoma" w:cs="Tahoma" w:hint="eastAsia"/>
          <w:sz w:val="36"/>
          <w:szCs w:val="36"/>
        </w:rPr>
        <w:t>microRNA</w:t>
      </w:r>
      <w:bookmarkEnd w:id="0"/>
    </w:p>
    <w:p w:rsidR="00CB3291" w:rsidRPr="006F3ABB" w:rsidRDefault="00CB329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CB3291" w:rsidRPr="006F3ABB" w:rsidRDefault="001E001B" w:rsidP="006F3ABB">
      <w:pPr>
        <w:pStyle w:val="Default"/>
        <w:spacing w:line="276" w:lineRule="auto"/>
        <w:ind w:firstLineChars="100" w:firstLine="200"/>
        <w:jc w:val="both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 w:hint="eastAsia"/>
          <w:sz w:val="20"/>
          <w:szCs w:val="20"/>
        </w:rPr>
        <w:t>본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강의에서는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인간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microRNA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생성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및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타겟팅에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대한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최신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생물정보학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연구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내용을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소개한다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또한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인공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지능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(AI)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활용한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microRNA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타겟팅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연구를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소개하고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AI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가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어떻게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microRNA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타겟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발굴의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예측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정확도를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높일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수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있는지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고찰한다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끝으로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코로나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19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를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일으킨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원인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바이러스인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SARS-CoV-2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microRNA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가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어떻게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host </w:t>
      </w:r>
      <w:r w:rsidRPr="006F3ABB">
        <w:rPr>
          <w:rFonts w:asciiTheme="minorEastAsia" w:eastAsiaTheme="minorEastAsia" w:hAnsiTheme="minorEastAsia"/>
          <w:sz w:val="20"/>
          <w:szCs w:val="20"/>
        </w:rPr>
        <w:t>immune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회피하는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지에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대한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최근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연구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결과에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대해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논의한다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:rsidR="00CB3291" w:rsidRPr="006F3ABB" w:rsidRDefault="00CB3291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</w:p>
    <w:p w:rsidR="00CB3291" w:rsidRPr="006F3ABB" w:rsidRDefault="001E001B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>본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>강의는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>다음의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>내용을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>포함한다</w:t>
      </w:r>
      <w:r w:rsidRPr="006F3ABB">
        <w:rPr>
          <w:rFonts w:asciiTheme="minorEastAsia" w:eastAsiaTheme="minorEastAsia" w:hAnsiTheme="minorEastAsia" w:cs="굴림" w:hint="eastAsia"/>
          <w:bCs/>
          <w:sz w:val="20"/>
          <w:szCs w:val="20"/>
        </w:rPr>
        <w:t>:</w:t>
      </w:r>
    </w:p>
    <w:p w:rsidR="00CB3291" w:rsidRPr="006F3ABB" w:rsidRDefault="001E001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 w:hint="eastAsia"/>
          <w:sz w:val="20"/>
          <w:szCs w:val="20"/>
        </w:rPr>
        <w:t>인간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microRNA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생성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기작</w:t>
      </w:r>
    </w:p>
    <w:p w:rsidR="00CB3291" w:rsidRPr="006F3ABB" w:rsidRDefault="001E001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 w:hint="eastAsia"/>
          <w:sz w:val="20"/>
          <w:szCs w:val="20"/>
        </w:rPr>
        <w:t>인간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microRNA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타겟팅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기작에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대한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최근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연구</w:t>
      </w:r>
    </w:p>
    <w:p w:rsidR="00CB3291" w:rsidRPr="006F3ABB" w:rsidRDefault="001E001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 w:hint="eastAsia"/>
          <w:sz w:val="20"/>
          <w:szCs w:val="20"/>
        </w:rPr>
        <w:t>인간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microRNA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타겟팅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연구를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위한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AI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기법</w:t>
      </w:r>
    </w:p>
    <w:p w:rsidR="00CB3291" w:rsidRPr="006F3ABB" w:rsidRDefault="001E001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/>
          <w:sz w:val="20"/>
          <w:szCs w:val="20"/>
        </w:rPr>
        <w:t>SARS-CoV-2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microRNA</w:t>
      </w:r>
    </w:p>
    <w:p w:rsidR="00CB3291" w:rsidRPr="006F3ABB" w:rsidRDefault="00CB3291">
      <w:pPr>
        <w:pStyle w:val="Default"/>
        <w:spacing w:line="276" w:lineRule="auto"/>
        <w:ind w:left="800"/>
        <w:jc w:val="both"/>
        <w:rPr>
          <w:rFonts w:asciiTheme="minorEastAsia" w:eastAsiaTheme="minorEastAsia" w:hAnsiTheme="minorEastAsia"/>
          <w:sz w:val="20"/>
          <w:szCs w:val="20"/>
        </w:rPr>
      </w:pPr>
    </w:p>
    <w:p w:rsidR="00CB3291" w:rsidRPr="006F3ABB" w:rsidRDefault="001E001B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/>
          <w:sz w:val="20"/>
          <w:szCs w:val="20"/>
        </w:rPr>
        <w:t>*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참고강의교재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:rsidR="00CB3291" w:rsidRPr="006F3ABB" w:rsidRDefault="001E001B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 w:hint="eastAsia"/>
          <w:sz w:val="20"/>
          <w:szCs w:val="20"/>
        </w:rPr>
        <w:t>강의자료에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첨부된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논문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2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편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(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The regulatory impact of RNA-binding proteins on microRNA targeting, </w:t>
      </w:r>
      <w:r w:rsidRPr="006F3ABB">
        <w:rPr>
          <w:rFonts w:asciiTheme="minorEastAsia" w:eastAsiaTheme="minorEastAsia" w:hAnsiTheme="minorEastAsia"/>
          <w:sz w:val="20"/>
          <w:szCs w:val="20"/>
        </w:rPr>
        <w:t>A high-resolution temporal atlas of the SARS-CoV-2 translatome and transcriptome)</w:t>
      </w:r>
    </w:p>
    <w:p w:rsidR="00CB3291" w:rsidRPr="006F3ABB" w:rsidRDefault="00CB329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CB3291" w:rsidRPr="006F3ABB" w:rsidRDefault="001E001B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/>
          <w:sz w:val="20"/>
          <w:szCs w:val="20"/>
        </w:rPr>
        <w:t>*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교육생준비물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:rsidR="00CB3291" w:rsidRPr="006F3ABB" w:rsidRDefault="001E001B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 w:hint="eastAsia"/>
          <w:sz w:val="20"/>
          <w:szCs w:val="20"/>
        </w:rPr>
        <w:t>노트북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(</w:t>
      </w:r>
      <w:r w:rsidRPr="006F3ABB">
        <w:rPr>
          <w:rFonts w:asciiTheme="minorEastAsia" w:eastAsiaTheme="minorEastAsia" w:hAnsiTheme="minorEastAsia"/>
          <w:sz w:val="20"/>
          <w:szCs w:val="20"/>
        </w:rPr>
        <w:t>메모리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8GB </w:t>
      </w:r>
      <w:r w:rsidRPr="006F3ABB">
        <w:rPr>
          <w:rFonts w:asciiTheme="minorEastAsia" w:eastAsiaTheme="minorEastAsia" w:hAnsiTheme="minorEastAsia"/>
          <w:sz w:val="20"/>
          <w:szCs w:val="20"/>
        </w:rPr>
        <w:t>이상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Pr="006F3ABB">
        <w:rPr>
          <w:rFonts w:asciiTheme="minorEastAsia" w:eastAsiaTheme="minorEastAsia" w:hAnsiTheme="minorEastAsia"/>
          <w:sz w:val="20"/>
          <w:szCs w:val="20"/>
        </w:rPr>
        <w:t>디스크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여유공간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30GB </w:t>
      </w:r>
      <w:r w:rsidRPr="006F3ABB">
        <w:rPr>
          <w:rFonts w:asciiTheme="minorEastAsia" w:eastAsiaTheme="minorEastAsia" w:hAnsiTheme="minorEastAsia"/>
          <w:sz w:val="20"/>
          <w:szCs w:val="20"/>
        </w:rPr>
        <w:t>이상</w:t>
      </w:r>
      <w:r w:rsidRPr="006F3ABB">
        <w:rPr>
          <w:rFonts w:asciiTheme="minorEastAsia" w:eastAsiaTheme="minorEastAsia" w:hAnsiTheme="minorEastAsia"/>
          <w:sz w:val="20"/>
          <w:szCs w:val="20"/>
        </w:rPr>
        <w:t>)</w:t>
      </w:r>
    </w:p>
    <w:p w:rsidR="00CB3291" w:rsidRDefault="00CB329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F3ABB" w:rsidRPr="006F3ABB" w:rsidRDefault="006F3ABB">
      <w:pPr>
        <w:pStyle w:val="Default"/>
        <w:spacing w:line="276" w:lineRule="auto"/>
        <w:rPr>
          <w:rFonts w:ascii="NanumMyeongjo" w:eastAsia="NanumMyeongjo" w:hAnsi="NanumMyeongjo" w:cs="굴림" w:hint="eastAsia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초</w:t>
      </w:r>
      <w:r>
        <w:rPr>
          <w:rFonts w:ascii="NanumMyeongjo" w:eastAsia="NanumMyeongjo" w:hAnsi="NanumMyeongjo" w:hint="eastAsia"/>
          <w:sz w:val="20"/>
          <w:szCs w:val="23"/>
        </w:rPr>
        <w:t>급</w:t>
      </w:r>
    </w:p>
    <w:p w:rsidR="006F3ABB" w:rsidRPr="006F3ABB" w:rsidRDefault="006F3ABB">
      <w:pPr>
        <w:pStyle w:val="Default"/>
        <w:spacing w:line="276" w:lineRule="auto"/>
        <w:rPr>
          <w:rFonts w:asciiTheme="minorEastAsia" w:eastAsiaTheme="minorEastAsia" w:hAnsiTheme="minorEastAsia" w:hint="eastAsia"/>
          <w:sz w:val="20"/>
          <w:szCs w:val="20"/>
        </w:rPr>
      </w:pPr>
    </w:p>
    <w:p w:rsidR="00CB3291" w:rsidRPr="006F3ABB" w:rsidRDefault="001E001B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*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강의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:</w:t>
      </w:r>
      <w:r w:rsidRPr="006F3ABB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백대현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교수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/>
          <w:sz w:val="20"/>
          <w:szCs w:val="20"/>
        </w:rPr>
        <w:t>(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서울대학교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생명과학부</w:t>
      </w:r>
      <w:r w:rsidRPr="006F3ABB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:rsidR="00CB3291" w:rsidRDefault="00CB3291">
      <w:pPr>
        <w:wordWrap/>
        <w:spacing w:after="0" w:line="240" w:lineRule="auto"/>
        <w:jc w:val="center"/>
        <w:textAlignment w:val="baseline"/>
        <w:rPr>
          <w:rFonts w:ascii="나눔바른고딕" w:eastAsia="나눔바른고딕" w:hAnsi="나눔바른고딕" w:cs="굴림"/>
          <w:b/>
          <w:bCs/>
          <w:color w:val="000000"/>
          <w:kern w:val="0"/>
          <w:sz w:val="24"/>
          <w:szCs w:val="24"/>
        </w:rPr>
      </w:pPr>
    </w:p>
    <w:p w:rsidR="00CB3291" w:rsidRDefault="001E001B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/>
        </w:rPr>
        <w:br w:type="page"/>
      </w:r>
    </w:p>
    <w:p w:rsidR="00CB3291" w:rsidRDefault="001E001B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CB3291" w:rsidRDefault="00CB3291">
      <w:pPr>
        <w:spacing w:after="0"/>
        <w:rPr>
          <w:rFonts w:ascii="Tahoma" w:eastAsia="나눔바른고딕" w:hAnsi="Tahoma" w:cs="Tahoma"/>
          <w:b/>
          <w:sz w:val="22"/>
        </w:rPr>
      </w:pPr>
    </w:p>
    <w:p w:rsidR="00CB3291" w:rsidRDefault="001E001B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291" w:rsidRDefault="001E001B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" w:eastAsia="돋움" w:hAnsi="Arial" w:cs="Arial"/>
                                <w:noProof/>
                                <w:sz w:val="22"/>
                              </w:rPr>
                              <w:drawing>
                                <wp:inline distT="0" distB="0" distL="0" distR="0">
                                  <wp:extent cx="1383975" cy="1555542"/>
                                  <wp:effectExtent l="0" t="0" r="0" b="0"/>
                                  <wp:docPr id="1026" name="shape10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이미지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3975" cy="15555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:rsidR="00CB3291" w:rsidRDefault="001E001B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Arial" w:eastAsia="돋움" w:hAnsi="Arial" w:cs="Arial"/>
                          <w:noProof/>
                          <w:sz w:val="22"/>
                        </w:rPr>
                        <w:drawing>
                          <wp:inline distT="0" distB="0" distL="0" distR="0">
                            <wp:extent cx="1383975" cy="1555542"/>
                            <wp:effectExtent l="0" t="0" r="0" b="0"/>
                            <wp:docPr id="1026" name="shape10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이미지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83975" cy="15555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Daehyun Baek, Ph.D.</w:t>
      </w:r>
    </w:p>
    <w:p w:rsidR="00CB3291" w:rsidRDefault="001E001B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CB3291" w:rsidRDefault="001E001B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>
        <w:rPr>
          <w:rFonts w:eastAsiaTheme="minorHAnsi" w:cs="Times New Roman"/>
          <w:szCs w:val="20"/>
        </w:rPr>
        <w:t>Daehyun Baek</w:t>
      </w:r>
    </w:p>
    <w:p w:rsidR="00CB3291" w:rsidRDefault="001E001B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Associate Professor</w:t>
      </w:r>
    </w:p>
    <w:p w:rsidR="00CB3291" w:rsidRDefault="001E001B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 Seoul National University</w:t>
      </w:r>
    </w:p>
    <w:p w:rsidR="00CB3291" w:rsidRDefault="001E001B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:rsidR="00CB3291" w:rsidRDefault="001E001B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>Rm 423, Bldg 504, Seoul National University</w:t>
      </w:r>
    </w:p>
    <w:p w:rsidR="00CB3291" w:rsidRDefault="001E001B">
      <w:pPr>
        <w:widowControl/>
        <w:shd w:val="clear" w:color="auto" w:fill="FFFFFF"/>
        <w:wordWrap/>
        <w:autoSpaceDE/>
        <w:spacing w:after="0" w:line="240" w:lineRule="auto"/>
        <w:ind w:left="40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Seoul, South Korea, 08826</w:t>
      </w:r>
    </w:p>
    <w:p w:rsidR="00CB3291" w:rsidRDefault="001E001B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>baek@snu.ac.kr</w:t>
      </w:r>
    </w:p>
    <w:p w:rsidR="00CB3291" w:rsidRDefault="001E001B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</w:t>
      </w:r>
      <w:r>
        <w:rPr>
          <w:rFonts w:eastAsiaTheme="minorHAnsi"/>
          <w:szCs w:val="20"/>
        </w:rPr>
        <w:tab/>
        <w:t>010-7737-0810</w:t>
      </w:r>
    </w:p>
    <w:p w:rsidR="00CB3291" w:rsidRDefault="001E001B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CB3291" w:rsidRPr="00CD3188" w:rsidRDefault="001E001B">
      <w:pPr>
        <w:spacing w:after="0" w:line="240" w:lineRule="auto"/>
        <w:rPr>
          <w:rFonts w:asciiTheme="majorEastAsia" w:eastAsiaTheme="majorEastAsia" w:hAnsiTheme="majorEastAsia"/>
          <w:szCs w:val="20"/>
        </w:rPr>
      </w:pPr>
      <w:r w:rsidRPr="00CD3188">
        <w:rPr>
          <w:rFonts w:asciiTheme="majorEastAsia" w:eastAsiaTheme="majorEastAsia" w:hAnsiTheme="majorEastAsia"/>
          <w:b/>
          <w:szCs w:val="20"/>
        </w:rPr>
        <w:t xml:space="preserve">Research interest : </w:t>
      </w:r>
      <w:r w:rsidRPr="00CD3188">
        <w:rPr>
          <w:rFonts w:asciiTheme="majorEastAsia" w:eastAsiaTheme="majorEastAsia" w:hAnsiTheme="majorEastAsia"/>
          <w:szCs w:val="20"/>
        </w:rPr>
        <w:t>Artificial Intelligence (Deep Learning) for Biology and Medicine, Computational Biology and Bioinformatics, Noncoding Genome, Cancer Genomics</w:t>
      </w:r>
    </w:p>
    <w:p w:rsidR="00CB3291" w:rsidRPr="00CD3188" w:rsidRDefault="00CB3291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</w:p>
    <w:p w:rsidR="00CB3291" w:rsidRPr="00CD3188" w:rsidRDefault="001E001B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CD3188">
        <w:rPr>
          <w:rFonts w:asciiTheme="majorEastAsia" w:eastAsiaTheme="majorEastAsia" w:hAnsiTheme="majorEastAsia"/>
          <w:b/>
          <w:szCs w:val="20"/>
        </w:rPr>
        <w:t>Educational Experience</w:t>
      </w:r>
    </w:p>
    <w:p w:rsidR="00CB3291" w:rsidRPr="00CD3188" w:rsidRDefault="001E001B">
      <w:pPr>
        <w:pStyle w:val="DataField10pt"/>
        <w:jc w:val="both"/>
        <w:rPr>
          <w:rFonts w:asciiTheme="majorEastAsia" w:eastAsiaTheme="majorEastAsia" w:hAnsiTheme="majorEastAsia"/>
        </w:rPr>
      </w:pPr>
      <w:r w:rsidRPr="00CD3188">
        <w:rPr>
          <w:rFonts w:asciiTheme="majorEastAsia" w:eastAsiaTheme="majorEastAsia" w:hAnsiTheme="majorEastAsia"/>
          <w:lang w:eastAsia="ko-KR"/>
        </w:rPr>
        <w:t>1999</w:t>
      </w:r>
      <w:r w:rsidRPr="00CD3188">
        <w:rPr>
          <w:rFonts w:asciiTheme="majorEastAsia" w:eastAsiaTheme="majorEastAsia" w:hAnsiTheme="majorEastAsia"/>
          <w:color w:val="0070C0"/>
        </w:rPr>
        <w:t xml:space="preserve"> </w:t>
      </w:r>
      <w:r w:rsidRPr="00CD3188">
        <w:rPr>
          <w:rFonts w:asciiTheme="majorEastAsia" w:eastAsiaTheme="majorEastAsia" w:hAnsiTheme="majorEastAsia"/>
          <w:b/>
          <w:color w:val="0070C0"/>
        </w:rPr>
        <w:tab/>
      </w:r>
      <w:r w:rsidRPr="00CD3188">
        <w:rPr>
          <w:rFonts w:asciiTheme="majorEastAsia" w:eastAsiaTheme="majorEastAsia" w:hAnsiTheme="majorEastAsia"/>
          <w:b/>
          <w:color w:val="0070C0"/>
        </w:rPr>
        <w:tab/>
      </w:r>
      <w:r w:rsidRPr="00CD3188">
        <w:rPr>
          <w:rFonts w:asciiTheme="majorEastAsia" w:eastAsiaTheme="majorEastAsia" w:hAnsiTheme="majorEastAsia"/>
        </w:rPr>
        <w:t>B.S. in Electrical Engineering at KAIST (Minor in Biological Sc</w:t>
      </w:r>
      <w:r w:rsidRPr="00CD3188">
        <w:rPr>
          <w:rFonts w:asciiTheme="majorEastAsia" w:eastAsiaTheme="majorEastAsia" w:hAnsiTheme="majorEastAsia"/>
        </w:rPr>
        <w:t>iences)</w:t>
      </w:r>
    </w:p>
    <w:p w:rsidR="00CB3291" w:rsidRPr="00CD3188" w:rsidRDefault="001E001B">
      <w:pPr>
        <w:pStyle w:val="DataField10pt"/>
        <w:rPr>
          <w:rFonts w:asciiTheme="majorEastAsia" w:eastAsiaTheme="majorEastAsia" w:hAnsiTheme="majorEastAsia"/>
          <w:lang w:eastAsia="ko-KR"/>
        </w:rPr>
      </w:pPr>
      <w:r w:rsidRPr="00CD3188">
        <w:rPr>
          <w:rFonts w:asciiTheme="majorEastAsia" w:eastAsiaTheme="majorEastAsia" w:hAnsiTheme="majorEastAsia"/>
          <w:lang w:eastAsia="ko-KR"/>
        </w:rPr>
        <w:t xml:space="preserve">2007 </w:t>
      </w:r>
      <w:r w:rsidRPr="00CD3188">
        <w:rPr>
          <w:rFonts w:asciiTheme="majorEastAsia" w:eastAsiaTheme="majorEastAsia" w:hAnsiTheme="majorEastAsia"/>
          <w:lang w:eastAsia="ko-KR"/>
        </w:rPr>
        <w:tab/>
      </w:r>
      <w:r w:rsidRPr="00CD3188">
        <w:rPr>
          <w:rFonts w:asciiTheme="majorEastAsia" w:eastAsiaTheme="majorEastAsia" w:hAnsiTheme="majorEastAsia"/>
          <w:lang w:eastAsia="ko-KR"/>
        </w:rPr>
        <w:tab/>
        <w:t>Ph.D. in Bioengineering at University of Washington (Advisor: Phil Green)</w:t>
      </w:r>
    </w:p>
    <w:p w:rsidR="00CB3291" w:rsidRPr="00CD3188" w:rsidRDefault="00CB3291">
      <w:pPr>
        <w:pStyle w:val="DataField10pt"/>
        <w:rPr>
          <w:rFonts w:asciiTheme="majorEastAsia" w:eastAsiaTheme="majorEastAsia" w:hAnsiTheme="majorEastAsia"/>
          <w:b/>
        </w:rPr>
      </w:pPr>
    </w:p>
    <w:p w:rsidR="00CB3291" w:rsidRPr="00CD3188" w:rsidRDefault="001E001B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CD3188">
        <w:rPr>
          <w:rFonts w:asciiTheme="majorEastAsia" w:eastAsiaTheme="majorEastAsia" w:hAnsiTheme="majorEastAsia"/>
          <w:b/>
          <w:szCs w:val="20"/>
        </w:rPr>
        <w:t>Professional Experience</w:t>
      </w:r>
    </w:p>
    <w:p w:rsidR="00CB3291" w:rsidRPr="00CD3188" w:rsidRDefault="001E001B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CD3188">
        <w:rPr>
          <w:rFonts w:asciiTheme="majorEastAsia" w:eastAsiaTheme="majorEastAsia" w:hAnsiTheme="majorEastAsia"/>
          <w:lang w:eastAsia="ko-KR"/>
        </w:rPr>
        <w:t xml:space="preserve">2007-2010 </w:t>
      </w:r>
      <w:r w:rsidRPr="00CD3188">
        <w:rPr>
          <w:rFonts w:asciiTheme="majorEastAsia" w:eastAsiaTheme="majorEastAsia" w:hAnsiTheme="majorEastAsia"/>
          <w:lang w:eastAsia="ko-KR"/>
        </w:rPr>
        <w:tab/>
        <w:t>Postdoctoral Fellow at Whitehead Institute / MIT / HHMI (Advisor: David Bartel)</w:t>
      </w:r>
    </w:p>
    <w:p w:rsidR="00CB3291" w:rsidRPr="00CD3188" w:rsidRDefault="001E001B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CD3188">
        <w:rPr>
          <w:rFonts w:asciiTheme="majorEastAsia" w:eastAsiaTheme="majorEastAsia" w:hAnsiTheme="majorEastAsia"/>
          <w:lang w:eastAsia="ko-KR"/>
        </w:rPr>
        <w:t>2010-Present</w:t>
      </w:r>
      <w:r w:rsidRPr="00CD3188">
        <w:rPr>
          <w:rFonts w:asciiTheme="majorEastAsia" w:eastAsiaTheme="majorEastAsia" w:hAnsiTheme="majorEastAsia"/>
          <w:lang w:eastAsia="ko-KR"/>
        </w:rPr>
        <w:tab/>
        <w:t xml:space="preserve">Assistant &amp; Associate Professor of </w:t>
      </w:r>
      <w:r w:rsidRPr="00CD3188">
        <w:rPr>
          <w:rFonts w:asciiTheme="majorEastAsia" w:eastAsiaTheme="majorEastAsia" w:hAnsiTheme="majorEastAsia"/>
          <w:lang w:eastAsia="ko-KR"/>
        </w:rPr>
        <w:t>School of Biological Sciences at SNU</w:t>
      </w:r>
    </w:p>
    <w:p w:rsidR="00CB3291" w:rsidRPr="00CD3188" w:rsidRDefault="00CB3291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</w:p>
    <w:p w:rsidR="00CB3291" w:rsidRPr="00CD3188" w:rsidRDefault="001E001B">
      <w:pPr>
        <w:spacing w:before="240" w:after="0" w:line="240" w:lineRule="auto"/>
        <w:rPr>
          <w:rFonts w:asciiTheme="majorEastAsia" w:eastAsiaTheme="majorEastAsia" w:hAnsiTheme="majorEastAsia"/>
          <w:b/>
          <w:szCs w:val="20"/>
        </w:rPr>
      </w:pPr>
      <w:r w:rsidRPr="00CD3188">
        <w:rPr>
          <w:rFonts w:asciiTheme="majorEastAsia" w:eastAsiaTheme="majorEastAsia" w:hAnsiTheme="majorEastAsia"/>
          <w:b/>
          <w:szCs w:val="20"/>
        </w:rPr>
        <w:t>Selected Publications (5 maximum)</w:t>
      </w:r>
    </w:p>
    <w:p w:rsidR="00CB3291" w:rsidRPr="00CD3188" w:rsidRDefault="001E001B">
      <w:pPr>
        <w:pStyle w:val="Default"/>
        <w:rPr>
          <w:rFonts w:asciiTheme="majorEastAsia" w:eastAsiaTheme="majorEastAsia" w:hAnsiTheme="majorEastAsia"/>
          <w:b/>
          <w:color w:val="323232"/>
          <w:sz w:val="20"/>
          <w:szCs w:val="20"/>
        </w:rPr>
      </w:pP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>1.</w:t>
      </w:r>
      <w:r w:rsidRPr="00CD318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D. Kim*, S. Kim*, J. Park*, H. R. Chang*, J. Chang*, J. Ahn*, …, M.-S. Park#, Y. K. Kim#, and </w:t>
      </w:r>
      <w:r w:rsidRPr="00CD3188">
        <w:rPr>
          <w:rFonts w:asciiTheme="majorEastAsia" w:eastAsiaTheme="majorEastAsia" w:hAnsiTheme="majorEastAsia"/>
          <w:b/>
          <w:color w:val="323232"/>
          <w:sz w:val="20"/>
          <w:szCs w:val="20"/>
        </w:rPr>
        <w:t>D. Baek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>#, A high-resolution temporal atlas of the SARS-CoV-2 translatome and transcript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ome, </w:t>
      </w:r>
      <w:r w:rsidRPr="00CD3188">
        <w:rPr>
          <w:rFonts w:asciiTheme="majorEastAsia" w:eastAsiaTheme="majorEastAsia" w:hAnsiTheme="majorEastAsia"/>
          <w:b/>
          <w:i/>
          <w:color w:val="323232"/>
          <w:sz w:val="20"/>
          <w:szCs w:val="20"/>
        </w:rPr>
        <w:t>Nature Communications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, 2021 </w:t>
      </w:r>
      <w:r w:rsidRPr="00CD3188">
        <w:rPr>
          <w:rFonts w:asciiTheme="majorEastAsia" w:eastAsiaTheme="majorEastAsia" w:hAnsiTheme="majorEastAsia"/>
          <w:b/>
          <w:color w:val="323232"/>
          <w:sz w:val="20"/>
          <w:szCs w:val="20"/>
        </w:rPr>
        <w:t>(IF=14.92)</w:t>
      </w:r>
    </w:p>
    <w:p w:rsidR="00CB3291" w:rsidRPr="00CD3188" w:rsidRDefault="00CB3291">
      <w:pPr>
        <w:pStyle w:val="Default"/>
        <w:rPr>
          <w:rFonts w:asciiTheme="majorEastAsia" w:eastAsiaTheme="majorEastAsia" w:hAnsiTheme="majorEastAsia"/>
          <w:b/>
          <w:color w:val="323232"/>
          <w:sz w:val="20"/>
          <w:szCs w:val="20"/>
        </w:rPr>
      </w:pPr>
    </w:p>
    <w:p w:rsidR="00CB3291" w:rsidRPr="00CD3188" w:rsidRDefault="001E001B">
      <w:pPr>
        <w:pStyle w:val="Default"/>
        <w:rPr>
          <w:rFonts w:asciiTheme="majorEastAsia" w:eastAsiaTheme="majorEastAsia" w:hAnsiTheme="majorEastAsia"/>
          <w:b/>
          <w:color w:val="323232"/>
          <w:sz w:val="20"/>
          <w:szCs w:val="20"/>
        </w:rPr>
      </w:pP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2. S. Kim*, S. Kim*, H. R. Chang*, D. Kim*, …, C. Shin#, and </w:t>
      </w:r>
      <w:r w:rsidRPr="00CD3188">
        <w:rPr>
          <w:rFonts w:asciiTheme="majorEastAsia" w:eastAsiaTheme="majorEastAsia" w:hAnsiTheme="majorEastAsia"/>
          <w:b/>
          <w:color w:val="323232"/>
          <w:sz w:val="20"/>
          <w:szCs w:val="20"/>
        </w:rPr>
        <w:t>D. Baek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#, The regulatory impact of RNA-binding proteins on microRNA targeting, </w:t>
      </w:r>
      <w:r w:rsidRPr="00CD3188">
        <w:rPr>
          <w:rFonts w:asciiTheme="majorEastAsia" w:eastAsiaTheme="majorEastAsia" w:hAnsiTheme="majorEastAsia"/>
          <w:b/>
          <w:i/>
          <w:color w:val="323232"/>
          <w:sz w:val="20"/>
          <w:szCs w:val="20"/>
        </w:rPr>
        <w:t>Nature Communications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, 2021 </w:t>
      </w:r>
      <w:r w:rsidRPr="00CD3188">
        <w:rPr>
          <w:rFonts w:asciiTheme="majorEastAsia" w:eastAsiaTheme="majorEastAsia" w:hAnsiTheme="majorEastAsia"/>
          <w:b/>
          <w:color w:val="323232"/>
          <w:sz w:val="20"/>
          <w:szCs w:val="20"/>
        </w:rPr>
        <w:t>(IF=14.92)</w:t>
      </w:r>
    </w:p>
    <w:p w:rsidR="00CB3291" w:rsidRPr="00CD3188" w:rsidRDefault="00CB3291">
      <w:pPr>
        <w:pStyle w:val="Default"/>
        <w:rPr>
          <w:rFonts w:asciiTheme="majorEastAsia" w:eastAsiaTheme="majorEastAsia" w:hAnsiTheme="majorEastAsia"/>
          <w:color w:val="323232"/>
          <w:sz w:val="20"/>
          <w:szCs w:val="20"/>
        </w:rPr>
      </w:pPr>
    </w:p>
    <w:p w:rsidR="00CB3291" w:rsidRPr="00CD3188" w:rsidRDefault="001E001B">
      <w:pPr>
        <w:pStyle w:val="Default"/>
        <w:rPr>
          <w:rFonts w:asciiTheme="majorEastAsia" w:eastAsiaTheme="majorEastAsia" w:hAnsiTheme="majorEastAsia"/>
          <w:color w:val="323232"/>
          <w:sz w:val="20"/>
          <w:szCs w:val="20"/>
        </w:rPr>
      </w:pP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>3. D. Kim*, Y. M. Sung*, J. Par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k*, ..., and </w:t>
      </w:r>
      <w:r w:rsidRPr="00CD3188">
        <w:rPr>
          <w:rFonts w:asciiTheme="majorEastAsia" w:eastAsiaTheme="majorEastAsia" w:hAnsiTheme="majorEastAsia"/>
          <w:b/>
          <w:bCs/>
          <w:color w:val="323232"/>
          <w:sz w:val="20"/>
          <w:szCs w:val="20"/>
        </w:rPr>
        <w:t>D. Baek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, General Rules for Functional MicroRNA Targeting, </w:t>
      </w:r>
      <w:r w:rsidRPr="00CD3188">
        <w:rPr>
          <w:rFonts w:asciiTheme="majorEastAsia" w:eastAsiaTheme="majorEastAsia" w:hAnsiTheme="majorEastAsia"/>
          <w:b/>
          <w:bCs/>
          <w:i/>
          <w:iCs/>
          <w:color w:val="323232"/>
          <w:sz w:val="20"/>
          <w:szCs w:val="20"/>
        </w:rPr>
        <w:t>Nature Genetics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, 2016 </w:t>
      </w:r>
      <w:r w:rsidRPr="00CD3188">
        <w:rPr>
          <w:rFonts w:asciiTheme="majorEastAsia" w:eastAsiaTheme="majorEastAsia" w:hAnsiTheme="majorEastAsia"/>
          <w:b/>
          <w:bCs/>
          <w:color w:val="323232"/>
          <w:sz w:val="20"/>
          <w:szCs w:val="20"/>
        </w:rPr>
        <w:t xml:space="preserve">(cited 106 times, IF=38.33) </w:t>
      </w:r>
    </w:p>
    <w:p w:rsidR="00CB3291" w:rsidRPr="00CD3188" w:rsidRDefault="00CB3291">
      <w:pPr>
        <w:pStyle w:val="Default"/>
        <w:rPr>
          <w:rFonts w:asciiTheme="majorEastAsia" w:eastAsiaTheme="majorEastAsia" w:hAnsiTheme="majorEastAsia"/>
          <w:color w:val="323232"/>
          <w:sz w:val="20"/>
          <w:szCs w:val="20"/>
        </w:rPr>
      </w:pPr>
    </w:p>
    <w:p w:rsidR="00CB3291" w:rsidRPr="00CD3188" w:rsidRDefault="001E001B">
      <w:pPr>
        <w:pStyle w:val="Default"/>
        <w:rPr>
          <w:rFonts w:asciiTheme="majorEastAsia" w:eastAsiaTheme="majorEastAsia" w:hAnsiTheme="majorEastAsia"/>
          <w:color w:val="323232"/>
          <w:sz w:val="20"/>
          <w:szCs w:val="20"/>
        </w:rPr>
      </w:pP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4. D. Garcia*, </w:t>
      </w:r>
      <w:r w:rsidRPr="00CD3188">
        <w:rPr>
          <w:rFonts w:asciiTheme="majorEastAsia" w:eastAsiaTheme="majorEastAsia" w:hAnsiTheme="majorEastAsia"/>
          <w:b/>
          <w:bCs/>
          <w:color w:val="323232"/>
          <w:sz w:val="20"/>
          <w:szCs w:val="20"/>
        </w:rPr>
        <w:t>D. Baek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>*#, ..., and D. Bartel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#, Weak Seed-Pairing Stability and High Target-Site Abundance Decrease the Proficiency of lsy-6 and Other miRNAs, </w:t>
      </w:r>
      <w:r w:rsidRPr="00CD3188">
        <w:rPr>
          <w:rFonts w:asciiTheme="majorEastAsia" w:eastAsiaTheme="majorEastAsia" w:hAnsiTheme="majorEastAsia"/>
          <w:b/>
          <w:bCs/>
          <w:i/>
          <w:iCs/>
          <w:color w:val="323232"/>
          <w:sz w:val="20"/>
          <w:szCs w:val="20"/>
        </w:rPr>
        <w:t>Nature Structural and Molecular Biology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, 2011. </w:t>
      </w:r>
      <w:r w:rsidRPr="00CD3188">
        <w:rPr>
          <w:rFonts w:asciiTheme="majorEastAsia" w:eastAsiaTheme="majorEastAsia" w:hAnsiTheme="majorEastAsia"/>
          <w:b/>
          <w:bCs/>
          <w:color w:val="323232"/>
          <w:sz w:val="20"/>
          <w:szCs w:val="20"/>
        </w:rPr>
        <w:t xml:space="preserve">(cited 920 times, IF=15.37) </w:t>
      </w:r>
    </w:p>
    <w:p w:rsidR="00CB3291" w:rsidRPr="00CD3188" w:rsidRDefault="00CB3291">
      <w:pPr>
        <w:pStyle w:val="Default"/>
        <w:rPr>
          <w:rFonts w:asciiTheme="majorEastAsia" w:eastAsiaTheme="majorEastAsia" w:hAnsiTheme="majorEastAsia"/>
          <w:color w:val="323232"/>
          <w:sz w:val="20"/>
          <w:szCs w:val="20"/>
        </w:rPr>
      </w:pPr>
      <w:bookmarkStart w:id="1" w:name="_GoBack"/>
      <w:bookmarkEnd w:id="1"/>
    </w:p>
    <w:p w:rsidR="00CB3291" w:rsidRPr="00CD3188" w:rsidRDefault="001E001B">
      <w:pPr>
        <w:pStyle w:val="Default"/>
        <w:rPr>
          <w:rFonts w:asciiTheme="majorEastAsia" w:eastAsiaTheme="majorEastAsia" w:hAnsiTheme="majorEastAsia"/>
          <w:color w:val="323232"/>
          <w:sz w:val="20"/>
          <w:szCs w:val="20"/>
        </w:rPr>
      </w:pP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5. </w:t>
      </w:r>
      <w:r w:rsidRPr="00CD3188">
        <w:rPr>
          <w:rFonts w:asciiTheme="majorEastAsia" w:eastAsiaTheme="majorEastAsia" w:hAnsiTheme="majorEastAsia"/>
          <w:b/>
          <w:bCs/>
          <w:color w:val="323232"/>
          <w:sz w:val="20"/>
          <w:szCs w:val="20"/>
        </w:rPr>
        <w:t>D. Baek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>*, J. Villen*, C. Shin*, ..., and D. Bartel, The Impact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 of MicroRNAs on Protein Output, </w:t>
      </w:r>
      <w:r w:rsidRPr="00CD3188">
        <w:rPr>
          <w:rFonts w:asciiTheme="majorEastAsia" w:eastAsiaTheme="majorEastAsia" w:hAnsiTheme="majorEastAsia"/>
          <w:b/>
          <w:bCs/>
          <w:i/>
          <w:iCs/>
          <w:color w:val="323232"/>
          <w:sz w:val="20"/>
          <w:szCs w:val="20"/>
        </w:rPr>
        <w:t>Nature</w:t>
      </w:r>
      <w:r w:rsidRPr="00CD3188">
        <w:rPr>
          <w:rFonts w:asciiTheme="majorEastAsia" w:eastAsiaTheme="majorEastAsia" w:hAnsiTheme="majorEastAsia"/>
          <w:color w:val="323232"/>
          <w:sz w:val="20"/>
          <w:szCs w:val="20"/>
        </w:rPr>
        <w:t xml:space="preserve">, 2008. </w:t>
      </w:r>
      <w:r w:rsidRPr="00CD3188">
        <w:rPr>
          <w:rFonts w:asciiTheme="majorEastAsia" w:eastAsiaTheme="majorEastAsia" w:hAnsiTheme="majorEastAsia"/>
          <w:b/>
          <w:bCs/>
          <w:color w:val="323232"/>
          <w:sz w:val="20"/>
          <w:szCs w:val="20"/>
        </w:rPr>
        <w:t xml:space="preserve">(cited 4,005 times, IF=49.96) </w:t>
      </w:r>
    </w:p>
    <w:p w:rsidR="00CB3291" w:rsidRPr="00CD3188" w:rsidRDefault="001E001B">
      <w:pPr>
        <w:widowControl/>
        <w:wordWrap/>
        <w:autoSpaceDE/>
        <w:autoSpaceDN/>
        <w:rPr>
          <w:rFonts w:asciiTheme="majorEastAsia" w:eastAsiaTheme="majorEastAsia" w:hAnsiTheme="majorEastAsia" w:cs="Tahoma"/>
          <w:szCs w:val="20"/>
        </w:rPr>
      </w:pPr>
      <w:r w:rsidRPr="00CD3188">
        <w:rPr>
          <w:rFonts w:asciiTheme="majorEastAsia" w:eastAsiaTheme="majorEastAsia" w:hAnsiTheme="majorEastAsia"/>
          <w:color w:val="323232"/>
          <w:szCs w:val="20"/>
        </w:rPr>
        <w:t xml:space="preserve"> (*co-first authors, #co-corresponding authors)</w:t>
      </w:r>
    </w:p>
    <w:sectPr w:rsidR="00CB3291" w:rsidRPr="00CD318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01B" w:rsidRDefault="001E001B" w:rsidP="006F3ABB">
      <w:pPr>
        <w:spacing w:after="0" w:line="240" w:lineRule="auto"/>
      </w:pPr>
      <w:r>
        <w:separator/>
      </w:r>
    </w:p>
  </w:endnote>
  <w:endnote w:type="continuationSeparator" w:id="0">
    <w:p w:rsidR="001E001B" w:rsidRDefault="001E001B" w:rsidP="006F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roman"/>
    <w:pitch w:val="variable"/>
    <w:sig w:usb0="00000000" w:usb1="09D7FCFB" w:usb2="00000010" w:usb3="00000000" w:csb0="002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01B" w:rsidRDefault="001E001B" w:rsidP="006F3ABB">
      <w:pPr>
        <w:spacing w:after="0" w:line="240" w:lineRule="auto"/>
      </w:pPr>
      <w:r>
        <w:separator/>
      </w:r>
    </w:p>
  </w:footnote>
  <w:footnote w:type="continuationSeparator" w:id="0">
    <w:p w:rsidR="001E001B" w:rsidRDefault="001E001B" w:rsidP="006F3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291"/>
    <w:rsid w:val="001E001B"/>
    <w:rsid w:val="006F3ABB"/>
    <w:rsid w:val="00CB3291"/>
    <w:rsid w:val="00CD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C33A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5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customStyle="1" w:styleId="Char0">
    <w:name w:val="머리글 Char"/>
    <w:basedOn w:val="a0"/>
  </w:style>
  <w:style w:type="paragraph" w:styleId="a6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1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paragraph" w:styleId="a7">
    <w:name w:val="Normal (Web)"/>
    <w:basedOn w:val="a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8">
    <w:name w:val="Hyperlink"/>
    <w:basedOn w:val="a0"/>
    <w:unhideWhenUsed/>
    <w:rPr>
      <w:color w:val="0000FF"/>
      <w:u w:val="single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a9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character" w:customStyle="1" w:styleId="gmaildefault">
    <w:name w:val="gmail_defaul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2178</Characters>
  <Application>Microsoft Office Word</Application>
  <DocSecurity>0</DocSecurity>
  <Lines>18</Lines>
  <Paragraphs>5</Paragraphs>
  <ScaleCrop>false</ScaleCrop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2018-11-29T07:27:00Z</dcterms:created>
  <dcterms:modified xsi:type="dcterms:W3CDTF">2023-01-05T02:18:00Z</dcterms:modified>
  <cp:version>0900.0001.01</cp:version>
</cp:coreProperties>
</file>